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D917C" w14:textId="21305C15" w:rsidR="00722EDE" w:rsidRPr="00E40940" w:rsidRDefault="002057E3" w:rsidP="00722EDE">
      <w:pPr>
        <w:pStyle w:val="RALs-Title"/>
        <w:rPr>
          <w:rFonts w:asciiTheme="majorBidi" w:hAnsiTheme="majorBidi" w:cstheme="majorBidi"/>
          <w:rtl/>
          <w:lang w:val="en-US"/>
        </w:rPr>
      </w:pPr>
      <w:r w:rsidRPr="002057E3">
        <w:rPr>
          <w:rFonts w:asciiTheme="majorBidi" w:hAnsiTheme="majorBidi" w:cstheme="majorBidi"/>
          <w:lang w:val="en-US"/>
        </w:rPr>
        <w:t>HUFLIT English Majors’ Perceptions of AI-Supported</w:t>
      </w:r>
      <w:r>
        <w:rPr>
          <w:rFonts w:asciiTheme="majorBidi" w:hAnsiTheme="majorBidi" w:cstheme="majorBidi"/>
          <w:lang w:val="en-US"/>
        </w:rPr>
        <w:br/>
      </w:r>
      <w:r w:rsidRPr="002057E3">
        <w:rPr>
          <w:rFonts w:asciiTheme="majorBidi" w:hAnsiTheme="majorBidi" w:cstheme="majorBidi"/>
          <w:lang w:val="en-US"/>
        </w:rPr>
        <w:t>Translation Learning in a Vietnamese EFL Context</w:t>
      </w:r>
    </w:p>
    <w:p w14:paraId="5182FF90" w14:textId="0A414185" w:rsidR="00722EDE" w:rsidRPr="00E40940" w:rsidRDefault="00A76568" w:rsidP="00722EDE">
      <w:pPr>
        <w:pStyle w:val="RALs-Authors"/>
        <w:rPr>
          <w:rFonts w:asciiTheme="majorBidi" w:hAnsiTheme="majorBidi" w:cstheme="majorBidi"/>
        </w:rPr>
      </w:pPr>
      <w:r>
        <w:rPr>
          <w:rFonts w:asciiTheme="majorBidi" w:hAnsiTheme="majorBidi" w:cstheme="majorBidi"/>
        </w:rPr>
        <w:t>Nam Anh</w:t>
      </w:r>
      <w:r w:rsidR="00722EDE" w:rsidRPr="00E40940">
        <w:rPr>
          <w:rFonts w:asciiTheme="majorBidi" w:hAnsiTheme="majorBidi" w:cstheme="majorBidi"/>
        </w:rPr>
        <w:t xml:space="preserve"> </w:t>
      </w:r>
      <w:r>
        <w:rPr>
          <w:rFonts w:asciiTheme="majorBidi" w:hAnsiTheme="majorBidi" w:cstheme="majorBidi"/>
        </w:rPr>
        <w:t>Tran</w:t>
      </w:r>
      <w:r w:rsidR="00722EDE" w:rsidRPr="00E40940">
        <w:rPr>
          <w:rStyle w:val="FootnoteReference"/>
          <w:rFonts w:asciiTheme="majorBidi" w:hAnsiTheme="majorBidi" w:cstheme="majorBidi"/>
        </w:rPr>
        <w:footnoteReference w:id="1"/>
      </w:r>
      <w:r w:rsidR="00722EDE" w:rsidRPr="00E40940">
        <w:rPr>
          <w:rFonts w:asciiTheme="majorBidi" w:hAnsiTheme="majorBidi" w:cstheme="majorBidi"/>
        </w:rPr>
        <w:t xml:space="preserve">, &amp; </w:t>
      </w:r>
      <w:r>
        <w:rPr>
          <w:rFonts w:asciiTheme="majorBidi" w:hAnsiTheme="majorBidi" w:cstheme="majorBidi"/>
        </w:rPr>
        <w:t>Thanh Tu</w:t>
      </w:r>
      <w:r w:rsidR="00722EDE" w:rsidRPr="00E40940">
        <w:rPr>
          <w:rFonts w:asciiTheme="majorBidi" w:hAnsiTheme="majorBidi" w:cstheme="majorBidi"/>
        </w:rPr>
        <w:t xml:space="preserve"> </w:t>
      </w:r>
      <w:r>
        <w:rPr>
          <w:rFonts w:asciiTheme="majorBidi" w:hAnsiTheme="majorBidi" w:cstheme="majorBidi"/>
        </w:rPr>
        <w:t>Tran</w:t>
      </w:r>
      <w:r w:rsidR="00722EDE" w:rsidRPr="00E40940">
        <w:rPr>
          <w:rStyle w:val="FootnoteReference"/>
          <w:rFonts w:asciiTheme="majorBidi" w:hAnsiTheme="majorBidi" w:cstheme="majorBidi"/>
        </w:rPr>
        <w:footnoteReference w:id="2"/>
      </w:r>
    </w:p>
    <w:p w14:paraId="29931606" w14:textId="77777777" w:rsidR="00316775" w:rsidRDefault="00316775" w:rsidP="00722EDE">
      <w:pPr>
        <w:pStyle w:val="RALs-HeadingsNoIndent"/>
        <w:rPr>
          <w:rFonts w:asciiTheme="majorBidi" w:hAnsiTheme="majorBidi" w:cstheme="majorBidi"/>
          <w:sz w:val="24"/>
          <w:szCs w:val="24"/>
        </w:rPr>
      </w:pPr>
    </w:p>
    <w:p w14:paraId="0AC0AE70" w14:textId="77777777" w:rsidR="00722EDE" w:rsidRPr="00E40940" w:rsidRDefault="00722EDE" w:rsidP="00722EDE">
      <w:pPr>
        <w:pStyle w:val="RALs-HeadingsNoIndent"/>
        <w:rPr>
          <w:rFonts w:asciiTheme="majorBidi" w:hAnsiTheme="majorBidi" w:cstheme="majorBidi"/>
          <w:sz w:val="24"/>
          <w:szCs w:val="24"/>
        </w:rPr>
      </w:pPr>
      <w:r w:rsidRPr="00E40940">
        <w:rPr>
          <w:rFonts w:asciiTheme="majorBidi" w:hAnsiTheme="majorBidi" w:cstheme="majorBidi"/>
          <w:sz w:val="24"/>
          <w:szCs w:val="24"/>
        </w:rPr>
        <w:t>Abstract</w:t>
      </w:r>
    </w:p>
    <w:p w14:paraId="4C82AF86" w14:textId="697D9922" w:rsidR="006D5B06" w:rsidRPr="00E86027" w:rsidRDefault="00A76568" w:rsidP="00206715">
      <w:pPr>
        <w:shd w:val="clear" w:color="auto" w:fill="FFFFFF"/>
        <w:spacing w:before="0" w:after="0" w:line="240" w:lineRule="auto"/>
        <w:rPr>
          <w:rFonts w:asciiTheme="majorBidi" w:hAnsiTheme="majorBidi" w:cstheme="majorBidi"/>
          <w:color w:val="333333"/>
          <w:sz w:val="24"/>
          <w:szCs w:val="24"/>
        </w:rPr>
      </w:pPr>
      <w:r w:rsidRPr="00A76568">
        <w:rPr>
          <w:rFonts w:asciiTheme="majorBidi" w:hAnsiTheme="majorBidi" w:cstheme="majorBidi"/>
          <w:sz w:val="24"/>
          <w:szCs w:val="24"/>
        </w:rPr>
        <w:t xml:space="preserve">The rapid integration of generative AI tools such as ChatGPT and Grammarly is reshaping EFL translation instruction in Vietnamese higher education, yet empirical evidence from specific institutional contexts remains limited. This study investigates HUFLIT English majors' perceptions of AI-supported translation learning through an integrated Technology Acceptance Model (TAM), Technological Pedagogical Content Knowledge (TPACK), and Self-Regulated Learning (SRL) framework. Using a structured questionnaire administered to 219 second- to fourth-year English majors, the study examined perceived benefits and risks of AI, teacher AI integration, and metacognitive engagement during translation tasks. Descriptive statistics revealed high AI adoption rates (92.7%), strong perceived usefulness and ease of use, and widespread self-reported cognitive overreliance. Exploratory factor analysis (KMO = 0.899; four factors explaining 73.53% of variance) identified a four-factor model: AI Learning Engagement, Teacher AI Integration, Cognitive Overreliance, and Perceived Ease of Use. Notably, perceived usefulness and self-regulated learning converged into a single construct, suggesting that HUFLIT students perceive AI as valuable precisely because it scaffolds their metacognitive processes. These findings underscore the critical role of teacher </w:t>
      </w:r>
      <w:r w:rsidR="00037AA5">
        <w:rPr>
          <w:rFonts w:asciiTheme="majorBidi" w:hAnsiTheme="majorBidi" w:cstheme="majorBidi"/>
          <w:sz w:val="24"/>
          <w:szCs w:val="24"/>
        </w:rPr>
        <w:t>guidance</w:t>
      </w:r>
      <w:r w:rsidRPr="00A76568">
        <w:rPr>
          <w:rFonts w:asciiTheme="majorBidi" w:hAnsiTheme="majorBidi" w:cstheme="majorBidi"/>
          <w:sz w:val="24"/>
          <w:szCs w:val="24"/>
        </w:rPr>
        <w:t xml:space="preserve"> and institutional </w:t>
      </w:r>
      <w:r w:rsidR="00A12F50">
        <w:rPr>
          <w:rFonts w:asciiTheme="majorBidi" w:hAnsiTheme="majorBidi" w:cstheme="majorBidi"/>
          <w:sz w:val="24"/>
          <w:szCs w:val="24"/>
        </w:rPr>
        <w:t>support</w:t>
      </w:r>
      <w:r w:rsidRPr="00A76568">
        <w:rPr>
          <w:rFonts w:asciiTheme="majorBidi" w:hAnsiTheme="majorBidi" w:cstheme="majorBidi"/>
          <w:sz w:val="24"/>
          <w:szCs w:val="24"/>
        </w:rPr>
        <w:t xml:space="preserve"> in supporting responsible, critically engaged AI use in Vietnamese EFL translation programs.</w:t>
      </w:r>
    </w:p>
    <w:p w14:paraId="4C947707" w14:textId="77720074" w:rsidR="00722EDE" w:rsidRDefault="00206715" w:rsidP="00A76568">
      <w:pPr>
        <w:spacing w:before="240"/>
        <w:rPr>
          <w:rFonts w:asciiTheme="majorBidi" w:hAnsiTheme="majorBidi" w:cstheme="majorBidi"/>
          <w:sz w:val="24"/>
          <w:szCs w:val="24"/>
        </w:rPr>
      </w:pPr>
      <w:r w:rsidRPr="00206715">
        <w:rPr>
          <w:rFonts w:asciiTheme="majorBidi" w:hAnsiTheme="majorBidi" w:cstheme="majorBidi"/>
          <w:b/>
          <w:bCs/>
          <w:i/>
          <w:iCs/>
          <w:sz w:val="24"/>
          <w:szCs w:val="24"/>
        </w:rPr>
        <w:t xml:space="preserve">Keywords: </w:t>
      </w:r>
      <w:r>
        <w:rPr>
          <w:rFonts w:asciiTheme="majorBidi" w:hAnsiTheme="majorBidi" w:cstheme="majorBidi"/>
          <w:sz w:val="24"/>
          <w:szCs w:val="24"/>
        </w:rPr>
        <w:t>A</w:t>
      </w:r>
      <w:r w:rsidRPr="00206715">
        <w:rPr>
          <w:rFonts w:asciiTheme="majorBidi" w:hAnsiTheme="majorBidi" w:cstheme="majorBidi"/>
          <w:sz w:val="24"/>
          <w:szCs w:val="24"/>
        </w:rPr>
        <w:t xml:space="preserve">rtificial </w:t>
      </w:r>
      <w:r>
        <w:rPr>
          <w:rFonts w:asciiTheme="majorBidi" w:hAnsiTheme="majorBidi" w:cstheme="majorBidi"/>
          <w:sz w:val="24"/>
          <w:szCs w:val="24"/>
        </w:rPr>
        <w:t>I</w:t>
      </w:r>
      <w:r w:rsidRPr="00206715">
        <w:rPr>
          <w:rFonts w:asciiTheme="majorBidi" w:hAnsiTheme="majorBidi" w:cstheme="majorBidi"/>
          <w:sz w:val="24"/>
          <w:szCs w:val="24"/>
        </w:rPr>
        <w:t>ntelligence in translation learning, English majors’ perceptions, translation pedagogy, self-regulated learning, Vietnamese higher education</w:t>
      </w:r>
      <w:r w:rsidR="00722EDE" w:rsidRPr="00F80631">
        <w:rPr>
          <w:rFonts w:asciiTheme="majorBidi" w:hAnsiTheme="majorBidi" w:cstheme="majorBidi"/>
          <w:sz w:val="24"/>
          <w:szCs w:val="24"/>
        </w:rPr>
        <w:t xml:space="preserve"> </w:t>
      </w:r>
    </w:p>
    <w:p w14:paraId="76A72F17" w14:textId="77777777" w:rsidR="00316775" w:rsidRPr="00F80631" w:rsidRDefault="00316775" w:rsidP="00722EDE">
      <w:pPr>
        <w:spacing w:before="240"/>
        <w:ind w:left="993" w:hanging="993"/>
        <w:rPr>
          <w:rFonts w:asciiTheme="majorBidi" w:hAnsiTheme="majorBidi" w:cstheme="majorBidi"/>
          <w:b/>
          <w:bCs/>
          <w:sz w:val="24"/>
          <w:szCs w:val="24"/>
        </w:rPr>
      </w:pPr>
    </w:p>
    <w:p w14:paraId="06C6869C" w14:textId="77777777" w:rsidR="00722EDE" w:rsidRPr="00E40940" w:rsidRDefault="00722EDE" w:rsidP="00AF4612">
      <w:pPr>
        <w:pStyle w:val="RALs-Heading1"/>
        <w:spacing w:before="0" w:after="120" w:line="480" w:lineRule="auto"/>
        <w:rPr>
          <w:rFonts w:asciiTheme="majorBidi" w:hAnsiTheme="majorBidi" w:cstheme="majorBidi"/>
          <w:b w:val="0"/>
          <w:bCs w:val="0"/>
          <w:sz w:val="24"/>
          <w:szCs w:val="24"/>
        </w:rPr>
      </w:pPr>
      <w:r w:rsidRPr="00E40940">
        <w:rPr>
          <w:rFonts w:asciiTheme="majorBidi" w:hAnsiTheme="majorBidi" w:cstheme="majorBidi"/>
          <w:sz w:val="24"/>
          <w:szCs w:val="24"/>
        </w:rPr>
        <w:t>1. Introduction</w:t>
      </w:r>
    </w:p>
    <w:p w14:paraId="6FC25991" w14:textId="630353A7" w:rsidR="00AF4612" w:rsidRPr="00AF4612" w:rsidRDefault="00AF4612" w:rsidP="00AF4612">
      <w:pPr>
        <w:autoSpaceDE w:val="0"/>
        <w:autoSpaceDN w:val="0"/>
        <w:adjustRightInd w:val="0"/>
        <w:spacing w:before="0" w:after="120" w:line="480" w:lineRule="auto"/>
        <w:ind w:firstLine="0"/>
        <w:rPr>
          <w:rFonts w:asciiTheme="majorBidi" w:hAnsiTheme="majorBidi" w:cstheme="majorBidi"/>
          <w:b/>
          <w:bCs/>
          <w:i/>
          <w:iCs/>
          <w:sz w:val="24"/>
          <w:szCs w:val="24"/>
        </w:rPr>
      </w:pPr>
      <w:r>
        <w:rPr>
          <w:rFonts w:asciiTheme="majorBidi" w:hAnsiTheme="majorBidi" w:cstheme="majorBidi"/>
          <w:b/>
          <w:bCs/>
          <w:i/>
          <w:iCs/>
          <w:sz w:val="24"/>
          <w:szCs w:val="24"/>
        </w:rPr>
        <w:t>1.</w:t>
      </w:r>
      <w:r w:rsidRPr="00AF4612">
        <w:rPr>
          <w:rFonts w:asciiTheme="majorBidi" w:hAnsiTheme="majorBidi" w:cstheme="majorBidi"/>
          <w:b/>
          <w:bCs/>
          <w:i/>
          <w:iCs/>
          <w:sz w:val="24"/>
          <w:szCs w:val="24"/>
        </w:rPr>
        <w:t xml:space="preserve">1. </w:t>
      </w:r>
      <w:r w:rsidR="00EE3690" w:rsidRPr="00EE3690">
        <w:rPr>
          <w:rFonts w:asciiTheme="majorBidi" w:hAnsiTheme="majorBidi" w:cstheme="majorBidi"/>
          <w:b/>
          <w:bCs/>
          <w:i/>
          <w:iCs/>
          <w:sz w:val="24"/>
          <w:szCs w:val="24"/>
        </w:rPr>
        <w:t xml:space="preserve">Background of </w:t>
      </w:r>
      <w:proofErr w:type="gramStart"/>
      <w:r w:rsidR="00EE3690" w:rsidRPr="00EE3690">
        <w:rPr>
          <w:rFonts w:asciiTheme="majorBidi" w:hAnsiTheme="majorBidi" w:cstheme="majorBidi"/>
          <w:b/>
          <w:bCs/>
          <w:i/>
          <w:iCs/>
          <w:sz w:val="24"/>
          <w:szCs w:val="24"/>
        </w:rPr>
        <w:t>the Study</w:t>
      </w:r>
      <w:proofErr w:type="gramEnd"/>
    </w:p>
    <w:p w14:paraId="50ADECFB" w14:textId="77777777" w:rsidR="00EE3690" w:rsidRPr="00EE3690" w:rsidRDefault="00EE3690" w:rsidP="00EE3690">
      <w:pPr>
        <w:autoSpaceDE w:val="0"/>
        <w:autoSpaceDN w:val="0"/>
        <w:adjustRightInd w:val="0"/>
        <w:spacing w:before="0" w:after="120" w:line="480" w:lineRule="auto"/>
        <w:rPr>
          <w:rFonts w:asciiTheme="majorBidi" w:eastAsia="TimesNewRomanPSMT" w:hAnsiTheme="majorBidi" w:cstheme="majorBidi"/>
          <w:sz w:val="24"/>
          <w:szCs w:val="24"/>
        </w:rPr>
      </w:pPr>
      <w:r w:rsidRPr="00EE3690">
        <w:rPr>
          <w:rFonts w:asciiTheme="majorBidi" w:eastAsia="TimesNewRomanPSMT" w:hAnsiTheme="majorBidi" w:cstheme="majorBidi"/>
          <w:sz w:val="24"/>
          <w:szCs w:val="24"/>
        </w:rPr>
        <w:t xml:space="preserve">The rapid development of artificial intelligence (AI), particularly generative AI tools such as ChatGPT and Grammarly, is reshaping both language education and the translation profession. Professional translators today increasingly function as post-editors who evaluate and refine machine-generated output rather than producing translations entirely from scratch </w:t>
      </w:r>
      <w:r w:rsidRPr="00EE3690">
        <w:rPr>
          <w:rFonts w:asciiTheme="majorBidi" w:eastAsia="TimesNewRomanPSMT" w:hAnsiTheme="majorBidi" w:cstheme="majorBidi"/>
          <w:sz w:val="24"/>
          <w:szCs w:val="24"/>
        </w:rPr>
        <w:lastRenderedPageBreak/>
        <w:t>(Ren &amp; Wang, 2025; Briggs, 2018). As a result, translation competence now requires not only linguistic proficiency but also the ability to critically evaluate AI-generated text and use automated support strategically.</w:t>
      </w:r>
    </w:p>
    <w:p w14:paraId="3B6936B2" w14:textId="77777777" w:rsidR="00EE3690" w:rsidRPr="00EE3690" w:rsidRDefault="00EE3690" w:rsidP="00EE3690">
      <w:pPr>
        <w:autoSpaceDE w:val="0"/>
        <w:autoSpaceDN w:val="0"/>
        <w:adjustRightInd w:val="0"/>
        <w:spacing w:before="0" w:after="120" w:line="480" w:lineRule="auto"/>
        <w:rPr>
          <w:rFonts w:asciiTheme="majorBidi" w:eastAsia="TimesNewRomanPSMT" w:hAnsiTheme="majorBidi" w:cstheme="majorBidi"/>
          <w:sz w:val="24"/>
          <w:szCs w:val="24"/>
        </w:rPr>
      </w:pPr>
      <w:r w:rsidRPr="00EE3690">
        <w:rPr>
          <w:rFonts w:asciiTheme="majorBidi" w:eastAsia="TimesNewRomanPSMT" w:hAnsiTheme="majorBidi" w:cstheme="majorBidi"/>
          <w:sz w:val="24"/>
          <w:szCs w:val="24"/>
        </w:rPr>
        <w:t>In higher education, however, translation teaching does not always keep pace with these professional changes. Many translation programmes still rely on teacher-centred instruction and conventional task designs, with limited systematic integration of AI-supported workflows (Yan et al., 2025; Suastika, 2024). In Vietnamese higher education, this gap is particularly significant: English learners often depend heavily on formal classroom instruction and may have fewer opportunities for authentic English exposure outside class. At HUFLIT, English majors in EFL translation courses are increasingly exposed to AI tools such as ChatGPT and Grammarly, yet how they perceive the benefits, risks, and pedagogical value of such tools has not been sufficiently examined.</w:t>
      </w:r>
    </w:p>
    <w:p w14:paraId="45419A7A" w14:textId="23BE6279" w:rsidR="00AF4612" w:rsidRPr="00AF4612" w:rsidRDefault="00EE3690" w:rsidP="00EE3690">
      <w:pPr>
        <w:autoSpaceDE w:val="0"/>
        <w:autoSpaceDN w:val="0"/>
        <w:adjustRightInd w:val="0"/>
        <w:spacing w:before="0" w:after="120" w:line="480" w:lineRule="auto"/>
        <w:rPr>
          <w:rFonts w:asciiTheme="majorBidi" w:eastAsia="TimesNewRomanPSMT" w:hAnsiTheme="majorBidi" w:cstheme="majorBidi"/>
          <w:sz w:val="24"/>
          <w:szCs w:val="24"/>
        </w:rPr>
      </w:pPr>
      <w:r w:rsidRPr="00EE3690">
        <w:rPr>
          <w:rFonts w:asciiTheme="majorBidi" w:eastAsia="TimesNewRomanPSMT" w:hAnsiTheme="majorBidi" w:cstheme="majorBidi"/>
          <w:sz w:val="24"/>
          <w:szCs w:val="24"/>
        </w:rPr>
        <w:t>To address this, the present study draws on three complementary theoretical frameworks. The Technology Acceptance Model (TAM; Davis, 1989) explains how learners' perceptions of usefulness and ease of use shape their adoption of educational technology. Technological Pedagogical Content Knowledge (TPACK; Mishra &amp; Koehler, 2006) examines how teachers integrate technology with pedagogical and content knowledge in instructional practice. Self-Regulated Learning (SRL; Zimmerman, 2000) highlights learners' metacognitive processes</w:t>
      </w:r>
      <w:r>
        <w:rPr>
          <w:rFonts w:asciiTheme="majorBidi" w:eastAsia="TimesNewRomanPSMT" w:hAnsiTheme="majorBidi" w:cstheme="majorBidi"/>
          <w:sz w:val="24"/>
          <w:szCs w:val="24"/>
        </w:rPr>
        <w:t xml:space="preserve"> – </w:t>
      </w:r>
      <w:r w:rsidRPr="00EE3690">
        <w:rPr>
          <w:rFonts w:asciiTheme="majorBidi" w:eastAsia="TimesNewRomanPSMT" w:hAnsiTheme="majorBidi" w:cstheme="majorBidi"/>
          <w:sz w:val="24"/>
          <w:szCs w:val="24"/>
        </w:rPr>
        <w:t>including planning, monitoring, and reflection</w:t>
      </w:r>
      <w:r>
        <w:rPr>
          <w:rFonts w:asciiTheme="majorBidi" w:eastAsia="TimesNewRomanPSMT" w:hAnsiTheme="majorBidi" w:cstheme="majorBidi"/>
          <w:sz w:val="24"/>
          <w:szCs w:val="24"/>
        </w:rPr>
        <w:t>,</w:t>
      </w:r>
      <w:r w:rsidRPr="00EE3690">
        <w:rPr>
          <w:rFonts w:asciiTheme="majorBidi" w:eastAsia="TimesNewRomanPSMT" w:hAnsiTheme="majorBidi" w:cstheme="majorBidi"/>
          <w:sz w:val="24"/>
          <w:szCs w:val="24"/>
        </w:rPr>
        <w:t xml:space="preserve"> when engaging with learning tools. Together, these frameworks provide a multidimensional lens for understanding AI-supported translation learning.</w:t>
      </w:r>
    </w:p>
    <w:p w14:paraId="00D00A20" w14:textId="3F78E443" w:rsidR="00AF4612" w:rsidRPr="00AF4612" w:rsidRDefault="00AF4612" w:rsidP="00AF4612">
      <w:pPr>
        <w:autoSpaceDE w:val="0"/>
        <w:autoSpaceDN w:val="0"/>
        <w:adjustRightInd w:val="0"/>
        <w:spacing w:before="0" w:after="120" w:line="480" w:lineRule="auto"/>
        <w:ind w:firstLine="0"/>
        <w:rPr>
          <w:rFonts w:asciiTheme="majorBidi" w:eastAsia="TimesNewRomanPSMT" w:hAnsiTheme="majorBidi" w:cstheme="majorBidi"/>
          <w:b/>
          <w:bCs/>
          <w:i/>
          <w:iCs/>
          <w:sz w:val="24"/>
          <w:szCs w:val="24"/>
        </w:rPr>
      </w:pPr>
      <w:r w:rsidRPr="00AF4612">
        <w:rPr>
          <w:rFonts w:asciiTheme="majorBidi" w:eastAsia="TimesNewRomanPSMT" w:hAnsiTheme="majorBidi" w:cstheme="majorBidi"/>
          <w:b/>
          <w:bCs/>
          <w:i/>
          <w:iCs/>
          <w:sz w:val="24"/>
          <w:szCs w:val="24"/>
        </w:rPr>
        <w:t xml:space="preserve">1.2. </w:t>
      </w:r>
      <w:r w:rsidR="004C203D" w:rsidRPr="004C203D">
        <w:rPr>
          <w:rFonts w:asciiTheme="majorBidi" w:eastAsia="TimesNewRomanPSMT" w:hAnsiTheme="majorBidi" w:cstheme="majorBidi"/>
          <w:b/>
          <w:bCs/>
          <w:i/>
          <w:iCs/>
          <w:sz w:val="24"/>
          <w:szCs w:val="24"/>
        </w:rPr>
        <w:t>Research Problem and Gap</w:t>
      </w:r>
    </w:p>
    <w:p w14:paraId="79386AB8" w14:textId="77777777" w:rsidR="004C203D" w:rsidRPr="004C203D" w:rsidRDefault="004C203D" w:rsidP="004C203D">
      <w:pPr>
        <w:autoSpaceDE w:val="0"/>
        <w:autoSpaceDN w:val="0"/>
        <w:adjustRightInd w:val="0"/>
        <w:spacing w:before="0" w:after="120" w:line="480" w:lineRule="auto"/>
        <w:rPr>
          <w:rFonts w:asciiTheme="majorBidi" w:eastAsia="TimesNewRomanPSMT" w:hAnsiTheme="majorBidi" w:cstheme="majorBidi"/>
          <w:sz w:val="24"/>
          <w:szCs w:val="24"/>
        </w:rPr>
      </w:pPr>
      <w:r w:rsidRPr="004C203D">
        <w:rPr>
          <w:rFonts w:asciiTheme="majorBidi" w:eastAsia="TimesNewRomanPSMT" w:hAnsiTheme="majorBidi" w:cstheme="majorBidi"/>
          <w:sz w:val="24"/>
          <w:szCs w:val="24"/>
        </w:rPr>
        <w:t xml:space="preserve">Although AI has become an increasingly prominent topic in English language education, much of the existing research focuses on general ESL or EFL learning rather than </w:t>
      </w:r>
      <w:r w:rsidRPr="004C203D">
        <w:rPr>
          <w:rFonts w:asciiTheme="majorBidi" w:eastAsia="TimesNewRomanPSMT" w:hAnsiTheme="majorBidi" w:cstheme="majorBidi"/>
          <w:sz w:val="24"/>
          <w:szCs w:val="24"/>
        </w:rPr>
        <w:lastRenderedPageBreak/>
        <w:t>the specific demands of translation instruction. Translation learning requires students not only to understand language form but also to compare source and target texts, evaluate semantic accuracy, consider stylistic appropriateness, and justify their translation choices. Findings from broader language-learning studies may therefore not fully capture how students experience AI in translation classrooms.</w:t>
      </w:r>
    </w:p>
    <w:p w14:paraId="72775C95" w14:textId="2BF19857" w:rsidR="00AF4612" w:rsidRDefault="004C203D" w:rsidP="0055523F">
      <w:pPr>
        <w:autoSpaceDE w:val="0"/>
        <w:autoSpaceDN w:val="0"/>
        <w:adjustRightInd w:val="0"/>
        <w:spacing w:before="0" w:after="120" w:line="480" w:lineRule="auto"/>
        <w:rPr>
          <w:rFonts w:asciiTheme="majorBidi" w:eastAsia="TimesNewRomanPSMT" w:hAnsiTheme="majorBidi" w:cstheme="majorBidi"/>
          <w:sz w:val="24"/>
          <w:szCs w:val="24"/>
        </w:rPr>
      </w:pPr>
      <w:r w:rsidRPr="004C203D">
        <w:rPr>
          <w:rFonts w:asciiTheme="majorBidi" w:eastAsia="TimesNewRomanPSMT" w:hAnsiTheme="majorBidi" w:cstheme="majorBidi"/>
          <w:sz w:val="24"/>
          <w:szCs w:val="24"/>
        </w:rPr>
        <w:t>In addition, empirical evidence from Vietnamese higher education remains limited, particularly regarding how English majors perceive AI-supported translation learning in specific institutional settings. Existing studies also tend to rely on single theoretical lenses</w:t>
      </w:r>
      <w:r>
        <w:rPr>
          <w:rFonts w:asciiTheme="majorBidi" w:eastAsia="TimesNewRomanPSMT" w:hAnsiTheme="majorBidi" w:cstheme="majorBidi"/>
          <w:sz w:val="24"/>
          <w:szCs w:val="24"/>
        </w:rPr>
        <w:t xml:space="preserve"> – </w:t>
      </w:r>
      <w:r w:rsidRPr="004C203D">
        <w:rPr>
          <w:rFonts w:asciiTheme="majorBidi" w:eastAsia="TimesNewRomanPSMT" w:hAnsiTheme="majorBidi" w:cstheme="majorBidi"/>
          <w:sz w:val="24"/>
          <w:szCs w:val="24"/>
        </w:rPr>
        <w:t>such as technology acceptance or pedagogical integration alone</w:t>
      </w:r>
      <w:r>
        <w:rPr>
          <w:rFonts w:asciiTheme="majorBidi" w:eastAsia="TimesNewRomanPSMT" w:hAnsiTheme="majorBidi" w:cstheme="majorBidi"/>
          <w:sz w:val="24"/>
          <w:szCs w:val="24"/>
        </w:rPr>
        <w:t>,</w:t>
      </w:r>
      <w:r w:rsidRPr="004C203D">
        <w:rPr>
          <w:rFonts w:asciiTheme="majorBidi" w:eastAsia="TimesNewRomanPSMT" w:hAnsiTheme="majorBidi" w:cstheme="majorBidi"/>
          <w:sz w:val="24"/>
          <w:szCs w:val="24"/>
        </w:rPr>
        <w:t xml:space="preserve"> which are insufficient for capturing the interaction among students' perceptions of AI, teachers' instructional practices, and learners' self-regulated engagement (Manzoor &amp; Jamil, 2025; </w:t>
      </w:r>
      <w:r w:rsidR="0054153C" w:rsidRPr="0054153C">
        <w:rPr>
          <w:rFonts w:asciiTheme="majorBidi" w:eastAsia="TimesNewRomanPSMT" w:hAnsiTheme="majorBidi" w:cstheme="majorBidi"/>
          <w:sz w:val="24"/>
          <w:szCs w:val="24"/>
        </w:rPr>
        <w:t>Saud</w:t>
      </w:r>
      <w:r w:rsidRPr="004C203D">
        <w:rPr>
          <w:rFonts w:asciiTheme="majorBidi" w:eastAsia="TimesNewRomanPSMT" w:hAnsiTheme="majorBidi" w:cstheme="majorBidi"/>
          <w:sz w:val="24"/>
          <w:szCs w:val="24"/>
        </w:rPr>
        <w:t>, 2025). This study addresses these gaps by investigating HUFLIT English majors' perceptions through an integrated TAM–TPACK–SRL framework.</w:t>
      </w:r>
    </w:p>
    <w:p w14:paraId="6827A428" w14:textId="57B8AC1B" w:rsidR="00AF4612" w:rsidRPr="00AF4612" w:rsidRDefault="00AF4612" w:rsidP="00AF4612">
      <w:pPr>
        <w:autoSpaceDE w:val="0"/>
        <w:autoSpaceDN w:val="0"/>
        <w:adjustRightInd w:val="0"/>
        <w:spacing w:before="0" w:after="120" w:line="480" w:lineRule="auto"/>
        <w:ind w:firstLine="0"/>
        <w:rPr>
          <w:rFonts w:asciiTheme="majorBidi" w:eastAsia="TimesNewRomanPSMT" w:hAnsiTheme="majorBidi" w:cstheme="majorBidi"/>
          <w:b/>
          <w:bCs/>
          <w:i/>
          <w:iCs/>
          <w:sz w:val="24"/>
          <w:szCs w:val="24"/>
        </w:rPr>
      </w:pPr>
      <w:r w:rsidRPr="00AF4612">
        <w:rPr>
          <w:rFonts w:asciiTheme="majorBidi" w:eastAsia="TimesNewRomanPSMT" w:hAnsiTheme="majorBidi" w:cstheme="majorBidi"/>
          <w:b/>
          <w:bCs/>
          <w:i/>
          <w:iCs/>
          <w:sz w:val="24"/>
          <w:szCs w:val="24"/>
        </w:rPr>
        <w:t>1.3. Research Objectives</w:t>
      </w:r>
    </w:p>
    <w:p w14:paraId="4E0EE960" w14:textId="48BFF646" w:rsidR="00AF4612" w:rsidRPr="007427A6" w:rsidRDefault="007427A6" w:rsidP="00AF4612">
      <w:pPr>
        <w:autoSpaceDE w:val="0"/>
        <w:autoSpaceDN w:val="0"/>
        <w:adjustRightInd w:val="0"/>
        <w:spacing w:before="0" w:after="120" w:line="480" w:lineRule="auto"/>
        <w:rPr>
          <w:rFonts w:asciiTheme="majorBidi" w:eastAsia="TimesNewRomanPSMT" w:hAnsiTheme="majorBidi" w:cstheme="majorBidi"/>
          <w:sz w:val="24"/>
          <w:szCs w:val="24"/>
        </w:rPr>
      </w:pPr>
      <w:r w:rsidRPr="007427A6">
        <w:rPr>
          <w:rFonts w:asciiTheme="majorBidi" w:eastAsia="TimesNewRomanPSMT" w:hAnsiTheme="majorBidi" w:cstheme="majorBidi"/>
          <w:sz w:val="24"/>
          <w:szCs w:val="24"/>
        </w:rPr>
        <w:t>This study aims to investigate HUFLIT English majors' perceptions of AI-supported EFL translation learning through an integrated TAM–TPACK–SRL framework. Specifically, the study examines students' perceived benefits and risks of AI use, their perceptions of teacher AI integration in translation classes, and the empirical factor structure underlying these perceptions.</w:t>
      </w:r>
    </w:p>
    <w:p w14:paraId="2D1BF499" w14:textId="7695952C" w:rsidR="00AF4612" w:rsidRPr="00AF4612" w:rsidRDefault="00F861FB" w:rsidP="00F861FB">
      <w:pPr>
        <w:autoSpaceDE w:val="0"/>
        <w:autoSpaceDN w:val="0"/>
        <w:adjustRightInd w:val="0"/>
        <w:spacing w:before="0" w:after="120" w:line="480" w:lineRule="auto"/>
        <w:ind w:firstLine="0"/>
        <w:rPr>
          <w:rFonts w:asciiTheme="majorBidi" w:eastAsia="TimesNewRomanPSMT" w:hAnsiTheme="majorBidi" w:cstheme="majorBidi"/>
          <w:b/>
          <w:bCs/>
          <w:i/>
          <w:iCs/>
          <w:sz w:val="24"/>
          <w:szCs w:val="24"/>
        </w:rPr>
      </w:pPr>
      <w:r w:rsidRPr="00F861FB">
        <w:rPr>
          <w:rFonts w:asciiTheme="majorBidi" w:eastAsia="TimesNewRomanPSMT" w:hAnsiTheme="majorBidi" w:cstheme="majorBidi"/>
          <w:b/>
          <w:bCs/>
          <w:i/>
          <w:iCs/>
          <w:sz w:val="24"/>
          <w:szCs w:val="24"/>
        </w:rPr>
        <w:t>1.</w:t>
      </w:r>
      <w:r w:rsidR="00AF4612" w:rsidRPr="00AF4612">
        <w:rPr>
          <w:rFonts w:asciiTheme="majorBidi" w:eastAsia="TimesNewRomanPSMT" w:hAnsiTheme="majorBidi" w:cstheme="majorBidi"/>
          <w:b/>
          <w:bCs/>
          <w:i/>
          <w:iCs/>
          <w:sz w:val="24"/>
          <w:szCs w:val="24"/>
        </w:rPr>
        <w:t xml:space="preserve">4. Research </w:t>
      </w:r>
      <w:r w:rsidR="007427A6">
        <w:rPr>
          <w:rFonts w:asciiTheme="majorBidi" w:eastAsia="TimesNewRomanPSMT" w:hAnsiTheme="majorBidi" w:cstheme="majorBidi"/>
          <w:b/>
          <w:bCs/>
          <w:i/>
          <w:iCs/>
          <w:sz w:val="24"/>
          <w:szCs w:val="24"/>
        </w:rPr>
        <w:t>Questions</w:t>
      </w:r>
    </w:p>
    <w:p w14:paraId="0E775554" w14:textId="77777777" w:rsidR="007427A6" w:rsidRPr="007427A6" w:rsidRDefault="007427A6" w:rsidP="007427A6">
      <w:pPr>
        <w:autoSpaceDE w:val="0"/>
        <w:autoSpaceDN w:val="0"/>
        <w:adjustRightInd w:val="0"/>
        <w:spacing w:before="0" w:after="120" w:line="480" w:lineRule="auto"/>
        <w:rPr>
          <w:rFonts w:asciiTheme="majorBidi" w:eastAsia="TimesNewRomanPSMT" w:hAnsiTheme="majorBidi" w:cstheme="majorBidi"/>
          <w:sz w:val="24"/>
          <w:szCs w:val="24"/>
        </w:rPr>
      </w:pPr>
      <w:r w:rsidRPr="007427A6">
        <w:rPr>
          <w:rFonts w:asciiTheme="majorBidi" w:eastAsia="TimesNewRomanPSMT" w:hAnsiTheme="majorBidi" w:cstheme="majorBidi"/>
          <w:sz w:val="24"/>
          <w:szCs w:val="24"/>
        </w:rPr>
        <w:t>The study is guided by the following research questions:</w:t>
      </w:r>
    </w:p>
    <w:p w14:paraId="13113183" w14:textId="77777777" w:rsidR="007427A6" w:rsidRPr="007427A6" w:rsidRDefault="007427A6" w:rsidP="007427A6">
      <w:pPr>
        <w:numPr>
          <w:ilvl w:val="0"/>
          <w:numId w:val="9"/>
        </w:numPr>
        <w:autoSpaceDE w:val="0"/>
        <w:autoSpaceDN w:val="0"/>
        <w:adjustRightInd w:val="0"/>
        <w:spacing w:before="0" w:after="120" w:line="480" w:lineRule="auto"/>
        <w:rPr>
          <w:rFonts w:asciiTheme="majorBidi" w:eastAsia="TimesNewRomanPSMT" w:hAnsiTheme="majorBidi" w:cstheme="majorBidi"/>
          <w:sz w:val="24"/>
          <w:szCs w:val="24"/>
        </w:rPr>
      </w:pPr>
      <w:r w:rsidRPr="007427A6">
        <w:rPr>
          <w:rFonts w:asciiTheme="majorBidi" w:eastAsia="TimesNewRomanPSMT" w:hAnsiTheme="majorBidi" w:cstheme="majorBidi"/>
          <w:sz w:val="24"/>
          <w:szCs w:val="24"/>
        </w:rPr>
        <w:t>How do HUFLIT students perceive the benefits and risks of AI-supported translation learning?</w:t>
      </w:r>
    </w:p>
    <w:p w14:paraId="15A538B2" w14:textId="77777777" w:rsidR="007427A6" w:rsidRPr="007427A6" w:rsidRDefault="007427A6" w:rsidP="007427A6">
      <w:pPr>
        <w:numPr>
          <w:ilvl w:val="0"/>
          <w:numId w:val="9"/>
        </w:numPr>
        <w:autoSpaceDE w:val="0"/>
        <w:autoSpaceDN w:val="0"/>
        <w:adjustRightInd w:val="0"/>
        <w:spacing w:before="0" w:after="120" w:line="480" w:lineRule="auto"/>
        <w:rPr>
          <w:rFonts w:asciiTheme="majorBidi" w:eastAsia="TimesNewRomanPSMT" w:hAnsiTheme="majorBidi" w:cstheme="majorBidi"/>
          <w:sz w:val="24"/>
          <w:szCs w:val="24"/>
        </w:rPr>
      </w:pPr>
      <w:r w:rsidRPr="007427A6">
        <w:rPr>
          <w:rFonts w:asciiTheme="majorBidi" w:eastAsia="TimesNewRomanPSMT" w:hAnsiTheme="majorBidi" w:cstheme="majorBidi"/>
          <w:sz w:val="24"/>
          <w:szCs w:val="24"/>
        </w:rPr>
        <w:lastRenderedPageBreak/>
        <w:t>What empirical factor structure emerges from students' perceptions of AI-supported translation learning?</w:t>
      </w:r>
    </w:p>
    <w:p w14:paraId="6C9C3716" w14:textId="2F99767E" w:rsidR="00AF4612" w:rsidRPr="007427A6" w:rsidRDefault="007427A6" w:rsidP="007427A6">
      <w:pPr>
        <w:numPr>
          <w:ilvl w:val="0"/>
          <w:numId w:val="9"/>
        </w:numPr>
        <w:autoSpaceDE w:val="0"/>
        <w:autoSpaceDN w:val="0"/>
        <w:adjustRightInd w:val="0"/>
        <w:spacing w:before="0" w:after="120" w:line="480" w:lineRule="auto"/>
        <w:rPr>
          <w:rFonts w:asciiTheme="majorBidi" w:eastAsia="TimesNewRomanPSMT" w:hAnsiTheme="majorBidi" w:cstheme="majorBidi"/>
          <w:sz w:val="24"/>
          <w:szCs w:val="24"/>
        </w:rPr>
      </w:pPr>
      <w:r w:rsidRPr="007427A6">
        <w:rPr>
          <w:rFonts w:asciiTheme="majorBidi" w:eastAsia="TimesNewRomanPSMT" w:hAnsiTheme="majorBidi" w:cstheme="majorBidi"/>
          <w:sz w:val="24"/>
          <w:szCs w:val="24"/>
        </w:rPr>
        <w:t>How do students perceive the roles of teacher AI integration and self-regulated engagement when using AI in translation classes?</w:t>
      </w:r>
    </w:p>
    <w:p w14:paraId="3FFA2BD9" w14:textId="40E807DE" w:rsidR="00AF4612" w:rsidRPr="00AF4612" w:rsidRDefault="00F861FB" w:rsidP="00F861FB">
      <w:pPr>
        <w:autoSpaceDE w:val="0"/>
        <w:autoSpaceDN w:val="0"/>
        <w:adjustRightInd w:val="0"/>
        <w:spacing w:before="0" w:after="120" w:line="480" w:lineRule="auto"/>
        <w:ind w:firstLine="0"/>
        <w:rPr>
          <w:rFonts w:asciiTheme="majorBidi" w:eastAsia="TimesNewRomanPSMT" w:hAnsiTheme="majorBidi" w:cstheme="majorBidi"/>
          <w:b/>
          <w:bCs/>
          <w:i/>
          <w:iCs/>
          <w:sz w:val="24"/>
          <w:szCs w:val="24"/>
        </w:rPr>
      </w:pPr>
      <w:r w:rsidRPr="00F861FB">
        <w:rPr>
          <w:rFonts w:asciiTheme="majorBidi" w:eastAsia="TimesNewRomanPSMT" w:hAnsiTheme="majorBidi" w:cstheme="majorBidi"/>
          <w:b/>
          <w:bCs/>
          <w:i/>
          <w:iCs/>
          <w:sz w:val="24"/>
          <w:szCs w:val="24"/>
        </w:rPr>
        <w:t>1.</w:t>
      </w:r>
      <w:r w:rsidR="00AF4612" w:rsidRPr="00AF4612">
        <w:rPr>
          <w:rFonts w:asciiTheme="majorBidi" w:eastAsia="TimesNewRomanPSMT" w:hAnsiTheme="majorBidi" w:cstheme="majorBidi"/>
          <w:b/>
          <w:bCs/>
          <w:i/>
          <w:iCs/>
          <w:sz w:val="24"/>
          <w:szCs w:val="24"/>
        </w:rPr>
        <w:t xml:space="preserve">5. </w:t>
      </w:r>
      <w:r w:rsidR="007427A6" w:rsidRPr="007427A6">
        <w:rPr>
          <w:rFonts w:asciiTheme="majorBidi" w:eastAsia="TimesNewRomanPSMT" w:hAnsiTheme="majorBidi" w:cstheme="majorBidi"/>
          <w:b/>
          <w:bCs/>
          <w:i/>
          <w:iCs/>
          <w:sz w:val="24"/>
          <w:szCs w:val="24"/>
        </w:rPr>
        <w:t xml:space="preserve">Significance of </w:t>
      </w:r>
      <w:proofErr w:type="gramStart"/>
      <w:r w:rsidR="007427A6" w:rsidRPr="007427A6">
        <w:rPr>
          <w:rFonts w:asciiTheme="majorBidi" w:eastAsia="TimesNewRomanPSMT" w:hAnsiTheme="majorBidi" w:cstheme="majorBidi"/>
          <w:b/>
          <w:bCs/>
          <w:i/>
          <w:iCs/>
          <w:sz w:val="24"/>
          <w:szCs w:val="24"/>
        </w:rPr>
        <w:t>the Study</w:t>
      </w:r>
      <w:proofErr w:type="gramEnd"/>
    </w:p>
    <w:p w14:paraId="0926CEE4" w14:textId="7598B9FA" w:rsidR="006F01BE" w:rsidRPr="00EE6618" w:rsidRDefault="007427A6" w:rsidP="00D80611">
      <w:pPr>
        <w:autoSpaceDE w:val="0"/>
        <w:autoSpaceDN w:val="0"/>
        <w:adjustRightInd w:val="0"/>
        <w:spacing w:before="0" w:after="120" w:line="480" w:lineRule="auto"/>
        <w:rPr>
          <w:rFonts w:asciiTheme="majorBidi" w:eastAsiaTheme="minorHAnsi" w:hAnsiTheme="majorBidi" w:cstheme="majorBidi"/>
          <w:sz w:val="24"/>
          <w:szCs w:val="24"/>
        </w:rPr>
      </w:pPr>
      <w:r w:rsidRPr="007427A6">
        <w:rPr>
          <w:rFonts w:asciiTheme="majorBidi" w:eastAsia="TimesNewRomanPSMT" w:hAnsiTheme="majorBidi" w:cstheme="majorBidi"/>
          <w:sz w:val="24"/>
          <w:szCs w:val="24"/>
        </w:rPr>
        <w:t xml:space="preserve">This study contributes to the literature on AI-supported language learning by providing empirical evidence from a Vietnamese higher education context that has been underexplored in existing research. Theoretically, it examines how an integrated TAM–TPACK–SRL framework applies to translation-specific </w:t>
      </w:r>
      <w:proofErr w:type="gramStart"/>
      <w:r w:rsidRPr="007427A6">
        <w:rPr>
          <w:rFonts w:asciiTheme="majorBidi" w:eastAsia="TimesNewRomanPSMT" w:hAnsiTheme="majorBidi" w:cstheme="majorBidi"/>
          <w:sz w:val="24"/>
          <w:szCs w:val="24"/>
        </w:rPr>
        <w:t>instruction, and</w:t>
      </w:r>
      <w:proofErr w:type="gramEnd"/>
      <w:r w:rsidRPr="007427A6">
        <w:rPr>
          <w:rFonts w:asciiTheme="majorBidi" w:eastAsia="TimesNewRomanPSMT" w:hAnsiTheme="majorBidi" w:cstheme="majorBidi"/>
          <w:sz w:val="24"/>
          <w:szCs w:val="24"/>
        </w:rPr>
        <w:t xml:space="preserve"> empirically identifies a four-factor perceptual model of AI-supported translation learning. Practically, the findings offer actionable insights for teachers and institutions seeking to design more effective AI-supported translation curricula, promote responsible AI use, and develop context-sensitive policies for English majors in Vietnam.</w:t>
      </w:r>
    </w:p>
    <w:p w14:paraId="30DBA77E" w14:textId="77777777" w:rsidR="00722EDE" w:rsidRPr="00E40940" w:rsidRDefault="00722EDE" w:rsidP="00AF4612">
      <w:pPr>
        <w:pStyle w:val="RALs-Heading1"/>
        <w:spacing w:before="0" w:after="120" w:line="480" w:lineRule="auto"/>
        <w:rPr>
          <w:rFonts w:asciiTheme="majorBidi" w:hAnsiTheme="majorBidi" w:cstheme="majorBidi"/>
          <w:sz w:val="24"/>
          <w:szCs w:val="24"/>
        </w:rPr>
      </w:pPr>
      <w:r w:rsidRPr="00E40940">
        <w:rPr>
          <w:rFonts w:asciiTheme="majorBidi" w:hAnsiTheme="majorBidi" w:cstheme="majorBidi"/>
          <w:sz w:val="24"/>
          <w:szCs w:val="24"/>
        </w:rPr>
        <w:t>2. Literature Review</w:t>
      </w:r>
    </w:p>
    <w:p w14:paraId="7C93C804" w14:textId="018CE534" w:rsidR="00352213" w:rsidRPr="006F01BE" w:rsidRDefault="00D80611" w:rsidP="00AF4612">
      <w:pPr>
        <w:spacing w:before="0" w:after="120" w:line="480" w:lineRule="auto"/>
        <w:rPr>
          <w:rFonts w:asciiTheme="majorBidi" w:hAnsiTheme="majorBidi" w:cstheme="majorBidi"/>
          <w:color w:val="00B050"/>
          <w:sz w:val="24"/>
          <w:szCs w:val="24"/>
        </w:rPr>
      </w:pPr>
      <w:r w:rsidRPr="00D80611">
        <w:rPr>
          <w:rFonts w:asciiTheme="majorBidi" w:hAnsiTheme="majorBidi" w:cstheme="majorBidi"/>
          <w:sz w:val="24"/>
          <w:szCs w:val="24"/>
        </w:rPr>
        <w:t>This chapter reviews prior research on the integration of artificial intelligence (AI) into English language education and translation learning, with particular attention to two dimensions central to the present study: pedagogical effectiveness and ethical considerations. In recent years, generative AI tools such as ChatGPT, grammar checkers, and machine translation systems have become increasingly integrated into language learning environments. Understanding how these tools influence students’ learning experiences and perceptions is therefore essential for evaluating their pedagogical potential.</w:t>
      </w:r>
    </w:p>
    <w:p w14:paraId="4C6D4C25" w14:textId="63FDC9F3" w:rsidR="00B13FAF" w:rsidRPr="00E40940" w:rsidRDefault="00B13FAF" w:rsidP="00AF4612">
      <w:pPr>
        <w:pStyle w:val="RALs-Heading2"/>
        <w:spacing w:before="0" w:after="120" w:line="480" w:lineRule="auto"/>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 xml:space="preserve">.1. </w:t>
      </w:r>
      <w:r w:rsidR="00D47736" w:rsidRPr="00D47736">
        <w:rPr>
          <w:rFonts w:asciiTheme="majorBidi" w:hAnsiTheme="majorBidi" w:cstheme="majorBidi"/>
          <w:sz w:val="24"/>
          <w:szCs w:val="24"/>
        </w:rPr>
        <w:t>AI in English Language Education</w:t>
      </w:r>
    </w:p>
    <w:p w14:paraId="7DF3F7CC" w14:textId="6825ED21" w:rsidR="0055523F" w:rsidRDefault="0013436C" w:rsidP="00AF4612">
      <w:pPr>
        <w:spacing w:before="0" w:after="120" w:line="480" w:lineRule="auto"/>
        <w:rPr>
          <w:rFonts w:asciiTheme="majorBidi" w:hAnsiTheme="majorBidi" w:cstheme="majorBidi"/>
          <w:sz w:val="24"/>
          <w:szCs w:val="24"/>
        </w:rPr>
      </w:pPr>
      <w:r w:rsidRPr="0013436C">
        <w:rPr>
          <w:rFonts w:asciiTheme="majorBidi" w:hAnsiTheme="majorBidi" w:cstheme="majorBidi"/>
          <w:sz w:val="24"/>
          <w:szCs w:val="24"/>
        </w:rPr>
        <w:t xml:space="preserve">AI has rapidly become a salient feature of contemporary English language education, shifting traditional teacher-fronted classrooms toward more learner-centered, technology-rich </w:t>
      </w:r>
      <w:r w:rsidRPr="0013436C">
        <w:rPr>
          <w:rFonts w:asciiTheme="majorBidi" w:hAnsiTheme="majorBidi" w:cstheme="majorBidi"/>
          <w:sz w:val="24"/>
          <w:szCs w:val="24"/>
        </w:rPr>
        <w:lastRenderedPageBreak/>
        <w:t>environments. AI tools not only provide on-demand language feedback but also facilitate crucial out-of-class practice and distributed learning (</w:t>
      </w:r>
      <w:r w:rsidR="0054153C" w:rsidRPr="0054153C">
        <w:rPr>
          <w:rFonts w:asciiTheme="majorBidi" w:hAnsiTheme="majorBidi" w:cstheme="majorBidi"/>
          <w:sz w:val="24"/>
          <w:szCs w:val="24"/>
        </w:rPr>
        <w:t>Saud</w:t>
      </w:r>
      <w:r w:rsidRPr="0013436C">
        <w:rPr>
          <w:rFonts w:asciiTheme="majorBidi" w:hAnsiTheme="majorBidi" w:cstheme="majorBidi"/>
          <w:sz w:val="24"/>
          <w:szCs w:val="24"/>
        </w:rPr>
        <w:t>, 2025; Manzoor &amp; Jamil, 2025; Pawestri &amp; Pratolo, 2024). While general EFL learning often uses AI for idea generation or basic grammar correction, translation classrooms involve different cognitive demands.</w:t>
      </w:r>
    </w:p>
    <w:p w14:paraId="7696C0DD" w14:textId="77777777" w:rsidR="0055523F" w:rsidRPr="0055523F" w:rsidRDefault="0055523F" w:rsidP="0055523F">
      <w:pPr>
        <w:spacing w:before="0" w:after="120" w:line="480" w:lineRule="auto"/>
        <w:ind w:firstLine="0"/>
        <w:jc w:val="left"/>
        <w:rPr>
          <w:rFonts w:asciiTheme="majorBidi" w:hAnsiTheme="majorBidi" w:cstheme="majorBidi"/>
          <w:i/>
          <w:iCs/>
          <w:sz w:val="24"/>
          <w:szCs w:val="24"/>
        </w:rPr>
      </w:pPr>
      <w:r w:rsidRPr="0055523F">
        <w:rPr>
          <w:rFonts w:asciiTheme="majorBidi" w:hAnsiTheme="majorBidi" w:cstheme="majorBidi"/>
          <w:b/>
          <w:bCs/>
          <w:sz w:val="24"/>
          <w:szCs w:val="24"/>
        </w:rPr>
        <w:t xml:space="preserve">Figure </w:t>
      </w:r>
      <w:r w:rsidRPr="0055523F">
        <w:rPr>
          <w:rFonts w:asciiTheme="majorBidi" w:hAnsiTheme="majorBidi" w:cstheme="majorBidi"/>
          <w:b/>
          <w:bCs/>
          <w:sz w:val="24"/>
          <w:szCs w:val="24"/>
        </w:rPr>
        <w:fldChar w:fldCharType="begin"/>
      </w:r>
      <w:r w:rsidRPr="0055523F">
        <w:rPr>
          <w:rFonts w:asciiTheme="majorBidi" w:hAnsiTheme="majorBidi" w:cstheme="majorBidi"/>
          <w:b/>
          <w:bCs/>
          <w:sz w:val="24"/>
          <w:szCs w:val="24"/>
        </w:rPr>
        <w:instrText xml:space="preserve"> SEQ Figure \* ARABIC </w:instrText>
      </w:r>
      <w:r w:rsidRPr="0055523F">
        <w:rPr>
          <w:rFonts w:asciiTheme="majorBidi" w:hAnsiTheme="majorBidi" w:cstheme="majorBidi"/>
          <w:b/>
          <w:bCs/>
          <w:sz w:val="24"/>
          <w:szCs w:val="24"/>
        </w:rPr>
        <w:fldChar w:fldCharType="separate"/>
      </w:r>
      <w:r w:rsidRPr="0055523F">
        <w:rPr>
          <w:rFonts w:asciiTheme="majorBidi" w:hAnsiTheme="majorBidi" w:cstheme="majorBidi"/>
          <w:b/>
          <w:bCs/>
          <w:sz w:val="24"/>
          <w:szCs w:val="24"/>
        </w:rPr>
        <w:t>1</w:t>
      </w:r>
      <w:r w:rsidRPr="0055523F">
        <w:rPr>
          <w:rFonts w:asciiTheme="majorBidi" w:hAnsiTheme="majorBidi" w:cstheme="majorBidi"/>
          <w:sz w:val="24"/>
          <w:szCs w:val="24"/>
        </w:rPr>
        <w:fldChar w:fldCharType="end"/>
      </w:r>
      <w:r w:rsidRPr="0055523F">
        <w:rPr>
          <w:rFonts w:asciiTheme="majorBidi" w:hAnsiTheme="majorBidi" w:cstheme="majorBidi"/>
          <w:i/>
          <w:iCs/>
          <w:sz w:val="24"/>
          <w:szCs w:val="24"/>
        </w:rPr>
        <w:br/>
        <w:t>Analysis of recent literature</w:t>
      </w:r>
    </w:p>
    <w:p w14:paraId="1071D8A5" w14:textId="77777777" w:rsidR="0055523F" w:rsidRPr="0055523F" w:rsidRDefault="0055523F" w:rsidP="007560FC">
      <w:pPr>
        <w:spacing w:before="0" w:after="120" w:line="480" w:lineRule="auto"/>
        <w:ind w:firstLine="0"/>
        <w:rPr>
          <w:rFonts w:asciiTheme="majorBidi" w:hAnsiTheme="majorBidi" w:cstheme="majorBidi"/>
          <w:sz w:val="24"/>
          <w:szCs w:val="24"/>
        </w:rPr>
      </w:pPr>
      <w:r w:rsidRPr="0055523F">
        <w:rPr>
          <w:rFonts w:asciiTheme="majorBidi" w:hAnsiTheme="majorBidi" w:cstheme="majorBidi"/>
          <w:noProof/>
          <w:sz w:val="24"/>
          <w:szCs w:val="24"/>
        </w:rPr>
        <w:drawing>
          <wp:inline distT="0" distB="0" distL="0" distR="0" wp14:anchorId="46BC0950" wp14:editId="04EE1693">
            <wp:extent cx="5684931" cy="3829050"/>
            <wp:effectExtent l="0" t="0" r="0" b="0"/>
            <wp:docPr id="64387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7286" name="Picture 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696877" cy="3837096"/>
                    </a:xfrm>
                    <a:prstGeom prst="rect">
                      <a:avLst/>
                    </a:prstGeom>
                  </pic:spPr>
                </pic:pic>
              </a:graphicData>
            </a:graphic>
          </wp:inline>
        </w:drawing>
      </w:r>
    </w:p>
    <w:p w14:paraId="46A53DEF" w14:textId="68C4EFE3" w:rsidR="007560FC" w:rsidRPr="007560FC" w:rsidRDefault="007560FC" w:rsidP="007560FC">
      <w:pPr>
        <w:spacing w:before="0" w:after="120" w:line="480" w:lineRule="auto"/>
        <w:rPr>
          <w:rFonts w:asciiTheme="majorBidi" w:hAnsiTheme="majorBidi" w:cstheme="majorBidi"/>
          <w:sz w:val="24"/>
          <w:szCs w:val="24"/>
        </w:rPr>
      </w:pPr>
      <w:r w:rsidRPr="007560FC">
        <w:rPr>
          <w:rFonts w:asciiTheme="majorBidi" w:hAnsiTheme="majorBidi" w:cstheme="majorBidi"/>
          <w:sz w:val="24"/>
          <w:szCs w:val="24"/>
        </w:rPr>
        <w:t xml:space="preserve">To map the current research landscape, a bibliometric analysis was conducted using VOSviewer. Publication data were retrieved from the Scopus database on [30 June 2026], using the following search query: TITLE-ABS-KEY </w:t>
      </w:r>
      <w:proofErr w:type="gramStart"/>
      <w:r w:rsidRPr="007560FC">
        <w:rPr>
          <w:rFonts w:asciiTheme="majorBidi" w:hAnsiTheme="majorBidi" w:cstheme="majorBidi"/>
          <w:sz w:val="24"/>
          <w:szCs w:val="24"/>
        </w:rPr>
        <w:t>( (</w:t>
      </w:r>
      <w:proofErr w:type="gramEnd"/>
      <w:r w:rsidRPr="007560FC">
        <w:rPr>
          <w:rFonts w:asciiTheme="majorBidi" w:hAnsiTheme="majorBidi" w:cstheme="majorBidi"/>
          <w:sz w:val="24"/>
          <w:szCs w:val="24"/>
        </w:rPr>
        <w:t xml:space="preserve"> “artificial intelligence” OR “ChatGPT” OR “generative AI” OR “machine translation</w:t>
      </w:r>
      <w:proofErr w:type="gramStart"/>
      <w:r w:rsidRPr="007560FC">
        <w:rPr>
          <w:rFonts w:asciiTheme="majorBidi" w:hAnsiTheme="majorBidi" w:cstheme="majorBidi"/>
          <w:sz w:val="24"/>
          <w:szCs w:val="24"/>
        </w:rPr>
        <w:t>” )</w:t>
      </w:r>
      <w:proofErr w:type="gramEnd"/>
      <w:r w:rsidRPr="007560FC">
        <w:rPr>
          <w:rFonts w:asciiTheme="majorBidi" w:hAnsiTheme="majorBidi" w:cstheme="majorBidi"/>
          <w:sz w:val="24"/>
          <w:szCs w:val="24"/>
        </w:rPr>
        <w:t xml:space="preserve"> AND </w:t>
      </w:r>
      <w:proofErr w:type="gramStart"/>
      <w:r w:rsidRPr="007560FC">
        <w:rPr>
          <w:rFonts w:asciiTheme="majorBidi" w:hAnsiTheme="majorBidi" w:cstheme="majorBidi"/>
          <w:sz w:val="24"/>
          <w:szCs w:val="24"/>
        </w:rPr>
        <w:t>( “</w:t>
      </w:r>
      <w:proofErr w:type="gramEnd"/>
      <w:r w:rsidRPr="007560FC">
        <w:rPr>
          <w:rFonts w:asciiTheme="majorBidi" w:hAnsiTheme="majorBidi" w:cstheme="majorBidi"/>
          <w:sz w:val="24"/>
          <w:szCs w:val="24"/>
        </w:rPr>
        <w:t>language learning” OR “EFL” OR “ESL” OR “English language teaching” OR “foreign language” OR “translation</w:t>
      </w:r>
      <w:proofErr w:type="gramStart"/>
      <w:r w:rsidRPr="007560FC">
        <w:rPr>
          <w:rFonts w:asciiTheme="majorBidi" w:hAnsiTheme="majorBidi" w:cstheme="majorBidi"/>
          <w:sz w:val="24"/>
          <w:szCs w:val="24"/>
        </w:rPr>
        <w:t>” )</w:t>
      </w:r>
      <w:proofErr w:type="gramEnd"/>
      <w:r w:rsidRPr="007560FC">
        <w:rPr>
          <w:rFonts w:asciiTheme="majorBidi" w:hAnsiTheme="majorBidi" w:cstheme="majorBidi"/>
          <w:sz w:val="24"/>
          <w:szCs w:val="24"/>
        </w:rPr>
        <w:t xml:space="preserve"> AND </w:t>
      </w:r>
      <w:proofErr w:type="gramStart"/>
      <w:r w:rsidRPr="007560FC">
        <w:rPr>
          <w:rFonts w:asciiTheme="majorBidi" w:hAnsiTheme="majorBidi" w:cstheme="majorBidi"/>
          <w:sz w:val="24"/>
          <w:szCs w:val="24"/>
        </w:rPr>
        <w:t>( “</w:t>
      </w:r>
      <w:proofErr w:type="gramEnd"/>
      <w:r w:rsidRPr="007560FC">
        <w:rPr>
          <w:rFonts w:asciiTheme="majorBidi" w:hAnsiTheme="majorBidi" w:cstheme="majorBidi"/>
          <w:sz w:val="24"/>
          <w:szCs w:val="24"/>
        </w:rPr>
        <w:t>perception” OR “attitude” OR “acceptance” OR “student” OR “learner</w:t>
      </w:r>
      <w:proofErr w:type="gramStart"/>
      <w:r w:rsidRPr="007560FC">
        <w:rPr>
          <w:rFonts w:asciiTheme="majorBidi" w:hAnsiTheme="majorBidi" w:cstheme="majorBidi"/>
          <w:sz w:val="24"/>
          <w:szCs w:val="24"/>
        </w:rPr>
        <w:t>” )</w:t>
      </w:r>
      <w:proofErr w:type="gramEnd"/>
      <w:r w:rsidRPr="007560FC">
        <w:rPr>
          <w:rFonts w:asciiTheme="majorBidi" w:hAnsiTheme="majorBidi" w:cstheme="majorBidi"/>
          <w:sz w:val="24"/>
          <w:szCs w:val="24"/>
        </w:rPr>
        <w:t xml:space="preserve"> ). The search was restricted to journal articles (DOCTYPE, “ar”) published between 2018 and 2025 (PUBYEAR </w:t>
      </w:r>
      <w:r w:rsidRPr="007560FC">
        <w:rPr>
          <w:rFonts w:asciiTheme="majorBidi" w:hAnsiTheme="majorBidi" w:cstheme="majorBidi"/>
          <w:sz w:val="24"/>
          <w:szCs w:val="24"/>
        </w:rPr>
        <w:lastRenderedPageBreak/>
        <w:t xml:space="preserve">&gt; 2017 AND PUBYEAR &lt; 2026), written in English, classified under the Social Sciences (SOCI) or Arts and Humanities (ARTS) subject areas, and available in open access. The search </w:t>
      </w:r>
      <w:proofErr w:type="gramStart"/>
      <w:r w:rsidRPr="007560FC">
        <w:rPr>
          <w:rFonts w:asciiTheme="majorBidi" w:hAnsiTheme="majorBidi" w:cstheme="majorBidi"/>
          <w:sz w:val="24"/>
          <w:szCs w:val="24"/>
        </w:rPr>
        <w:t>returned</w:t>
      </w:r>
      <w:proofErr w:type="gramEnd"/>
      <w:r w:rsidRPr="007560FC">
        <w:rPr>
          <w:rFonts w:asciiTheme="majorBidi" w:hAnsiTheme="majorBidi" w:cstheme="majorBidi"/>
          <w:sz w:val="24"/>
          <w:szCs w:val="24"/>
        </w:rPr>
        <w:t xml:space="preserve"> 426 articles, which were exported and analysed in VOSviewer. A co-occurrence analysis of author keywords was performed using full counting, with a minimum threshold of five occurrences per keyword, resulting in 44 keywords that met this criterion. The resulting network visualisation (Figure 1) reveals the following patterns:</w:t>
      </w:r>
    </w:p>
    <w:p w14:paraId="4C45DF80" w14:textId="77777777" w:rsidR="007560FC" w:rsidRPr="007560FC" w:rsidRDefault="007560FC" w:rsidP="007560FC">
      <w:pPr>
        <w:numPr>
          <w:ilvl w:val="0"/>
          <w:numId w:val="7"/>
        </w:numPr>
        <w:spacing w:before="0" w:after="120" w:line="480" w:lineRule="auto"/>
        <w:rPr>
          <w:rFonts w:asciiTheme="majorBidi" w:hAnsiTheme="majorBidi" w:cstheme="majorBidi"/>
          <w:sz w:val="24"/>
          <w:szCs w:val="24"/>
        </w:rPr>
      </w:pPr>
      <w:r w:rsidRPr="007560FC">
        <w:rPr>
          <w:rFonts w:asciiTheme="majorBidi" w:hAnsiTheme="majorBidi" w:cstheme="majorBidi"/>
          <w:sz w:val="24"/>
          <w:szCs w:val="24"/>
        </w:rPr>
        <w:t xml:space="preserve">The network was organised into three major thematic clusters. The first cluster centred on “machine translation”, “post-editing”, “neural machine translation”, and “translator training”, representing the traditional translation-technology strand. </w:t>
      </w:r>
      <w:proofErr w:type="gramStart"/>
      <w:r w:rsidRPr="007560FC">
        <w:rPr>
          <w:rFonts w:asciiTheme="majorBidi" w:hAnsiTheme="majorBidi" w:cstheme="majorBidi"/>
          <w:sz w:val="24"/>
          <w:szCs w:val="24"/>
        </w:rPr>
        <w:t>The second cluster,</w:t>
      </w:r>
      <w:proofErr w:type="gramEnd"/>
      <w:r w:rsidRPr="007560FC">
        <w:rPr>
          <w:rFonts w:asciiTheme="majorBidi" w:hAnsiTheme="majorBidi" w:cstheme="majorBidi"/>
          <w:sz w:val="24"/>
          <w:szCs w:val="24"/>
        </w:rPr>
        <w:t xml:space="preserve"> organised around “artificial intelligence”, “ChatGPT”, and “generative AI”, reflected the more recent shift toward generative AI tools. The third cluster grouped pedagogical and learner-oriented terms such as “EFL”, “language learning”, “writing”, “feedback”, and “technology acceptance model”.</w:t>
      </w:r>
    </w:p>
    <w:p w14:paraId="2F9C1DFF" w14:textId="77777777" w:rsidR="007560FC" w:rsidRPr="007560FC" w:rsidRDefault="007560FC" w:rsidP="007560FC">
      <w:pPr>
        <w:numPr>
          <w:ilvl w:val="0"/>
          <w:numId w:val="7"/>
        </w:numPr>
        <w:spacing w:before="0" w:after="120" w:line="480" w:lineRule="auto"/>
        <w:rPr>
          <w:rFonts w:asciiTheme="majorBidi" w:hAnsiTheme="majorBidi" w:cstheme="majorBidi"/>
          <w:sz w:val="24"/>
          <w:szCs w:val="24"/>
        </w:rPr>
      </w:pPr>
      <w:r w:rsidRPr="007560FC">
        <w:rPr>
          <w:rFonts w:asciiTheme="majorBidi" w:hAnsiTheme="majorBidi" w:cstheme="majorBidi"/>
          <w:sz w:val="24"/>
          <w:szCs w:val="24"/>
        </w:rPr>
        <w:t>The overlay visualisation, which maps keywords by their average publication year, indicated a clear temporal shift. Specifically, earlier research clustered around “machine translation” and “Google Translate”, whereas more recent work has moved toward “generative AI”, “ChatGPT”, and “technology acceptance”.</w:t>
      </w:r>
    </w:p>
    <w:p w14:paraId="13379A14" w14:textId="77777777" w:rsidR="007560FC" w:rsidRPr="007560FC" w:rsidRDefault="007560FC" w:rsidP="007560FC">
      <w:pPr>
        <w:numPr>
          <w:ilvl w:val="0"/>
          <w:numId w:val="7"/>
        </w:numPr>
        <w:spacing w:before="0" w:after="120" w:line="480" w:lineRule="auto"/>
        <w:rPr>
          <w:rFonts w:asciiTheme="majorBidi" w:hAnsiTheme="majorBidi" w:cstheme="majorBidi"/>
          <w:sz w:val="24"/>
          <w:szCs w:val="24"/>
        </w:rPr>
      </w:pPr>
      <w:r w:rsidRPr="007560FC">
        <w:rPr>
          <w:rFonts w:asciiTheme="majorBidi" w:hAnsiTheme="majorBidi" w:cstheme="majorBidi"/>
          <w:sz w:val="24"/>
          <w:szCs w:val="24"/>
        </w:rPr>
        <w:t>Notably, the links between the translation-instruction cluster and learner-perception terms remained relatively weak, suggesting that the application of AI specifically within translation pedagogy, as distinct from general language learning, has not yet been fully explored.</w:t>
      </w:r>
    </w:p>
    <w:p w14:paraId="3BA651A3" w14:textId="571EADF5" w:rsidR="0055523F" w:rsidRDefault="007560FC" w:rsidP="007560FC">
      <w:pPr>
        <w:spacing w:before="0" w:after="120" w:line="480" w:lineRule="auto"/>
        <w:rPr>
          <w:rFonts w:asciiTheme="majorBidi" w:hAnsiTheme="majorBidi" w:cstheme="majorBidi"/>
          <w:sz w:val="24"/>
          <w:szCs w:val="24"/>
        </w:rPr>
      </w:pPr>
      <w:r w:rsidRPr="007560FC">
        <w:rPr>
          <w:rFonts w:asciiTheme="majorBidi" w:hAnsiTheme="majorBidi" w:cstheme="majorBidi"/>
          <w:sz w:val="24"/>
          <w:szCs w:val="24"/>
        </w:rPr>
        <w:t>Taken together, this bibliometric evidence supports the integrated TAM–TPACK–SRL framework adopted in the present study and highlights the underexplored intersection of AI and EFL translation instruction, which this study seeks to address.</w:t>
      </w:r>
    </w:p>
    <w:p w14:paraId="180F09AD" w14:textId="1376479F" w:rsidR="00B13FAF" w:rsidRPr="00E40940" w:rsidRDefault="0013436C" w:rsidP="00AF4612">
      <w:pPr>
        <w:spacing w:before="0" w:after="120" w:line="480" w:lineRule="auto"/>
        <w:rPr>
          <w:rFonts w:asciiTheme="majorBidi" w:hAnsiTheme="majorBidi" w:cstheme="majorBidi"/>
          <w:i/>
          <w:iCs/>
          <w:sz w:val="24"/>
          <w:szCs w:val="24"/>
        </w:rPr>
      </w:pPr>
      <w:r w:rsidRPr="0013436C">
        <w:rPr>
          <w:rFonts w:asciiTheme="majorBidi" w:hAnsiTheme="majorBidi" w:cstheme="majorBidi"/>
          <w:sz w:val="24"/>
          <w:szCs w:val="24"/>
        </w:rPr>
        <w:lastRenderedPageBreak/>
        <w:t>Students must compare source and target texts, evaluate semantic accuracy, consider stylistic appropriateness, and justify their renderings. Thus, AI in translation learning serves not only as a language improver but also as a cognitive scaffold for text analysis and post-editing, requiring a distinct set of pedagogical and self-regulatory skills.</w:t>
      </w:r>
    </w:p>
    <w:p w14:paraId="3DBAD6DA" w14:textId="73208DCA" w:rsidR="00D47736" w:rsidRPr="00E40940" w:rsidRDefault="00D47736" w:rsidP="00AF4612">
      <w:pPr>
        <w:pStyle w:val="RALs-Heading2"/>
        <w:spacing w:before="0" w:after="120" w:line="480" w:lineRule="auto"/>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w:t>
      </w:r>
      <w:r>
        <w:rPr>
          <w:rFonts w:asciiTheme="majorBidi" w:hAnsiTheme="majorBidi" w:cstheme="majorBidi"/>
          <w:sz w:val="24"/>
          <w:szCs w:val="24"/>
        </w:rPr>
        <w:t>2</w:t>
      </w:r>
      <w:r w:rsidRPr="00E40940">
        <w:rPr>
          <w:rFonts w:asciiTheme="majorBidi" w:hAnsiTheme="majorBidi" w:cstheme="majorBidi"/>
          <w:sz w:val="24"/>
          <w:szCs w:val="24"/>
        </w:rPr>
        <w:t xml:space="preserve">. </w:t>
      </w:r>
      <w:r w:rsidRPr="00D47736">
        <w:rPr>
          <w:rFonts w:asciiTheme="majorBidi" w:hAnsiTheme="majorBidi" w:cstheme="majorBidi"/>
          <w:sz w:val="24"/>
          <w:szCs w:val="24"/>
        </w:rPr>
        <w:t>Pedagogical Effectiveness of AI-Supported Learning</w:t>
      </w:r>
    </w:p>
    <w:p w14:paraId="4A81CA6C" w14:textId="486529F9" w:rsidR="00D47736" w:rsidRDefault="00D47736" w:rsidP="00AF4612">
      <w:pPr>
        <w:pStyle w:val="RALs-Heading3"/>
        <w:spacing w:before="0" w:after="120" w:line="480" w:lineRule="auto"/>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w:t>
      </w:r>
      <w:r w:rsidR="00042E0A">
        <w:rPr>
          <w:rFonts w:asciiTheme="majorBidi" w:hAnsiTheme="majorBidi" w:cstheme="majorBidi"/>
          <w:sz w:val="24"/>
          <w:szCs w:val="24"/>
        </w:rPr>
        <w:t>2</w:t>
      </w:r>
      <w:r w:rsidRPr="00E40940">
        <w:rPr>
          <w:rFonts w:asciiTheme="majorBidi" w:hAnsiTheme="majorBidi" w:cstheme="majorBidi"/>
          <w:sz w:val="24"/>
          <w:szCs w:val="24"/>
        </w:rPr>
        <w:t xml:space="preserve">.1. </w:t>
      </w:r>
      <w:r w:rsidRPr="00D47736">
        <w:rPr>
          <w:rFonts w:asciiTheme="majorBidi" w:hAnsiTheme="majorBidi" w:cstheme="majorBidi"/>
          <w:sz w:val="24"/>
          <w:szCs w:val="24"/>
        </w:rPr>
        <w:t>Language support: grammar, vocabulary, and writing</w:t>
      </w:r>
    </w:p>
    <w:p w14:paraId="49ED45D7" w14:textId="5C60FA73" w:rsidR="00042E0A" w:rsidRPr="00042E0A" w:rsidRDefault="00042E0A" w:rsidP="00AF4612">
      <w:pPr>
        <w:spacing w:before="0" w:after="120" w:line="480" w:lineRule="auto"/>
        <w:rPr>
          <w:rFonts w:asciiTheme="majorBidi" w:hAnsiTheme="majorBidi" w:cstheme="majorBidi"/>
          <w:sz w:val="24"/>
          <w:szCs w:val="24"/>
        </w:rPr>
      </w:pPr>
      <w:r w:rsidRPr="00042E0A">
        <w:rPr>
          <w:rFonts w:asciiTheme="majorBidi" w:hAnsiTheme="majorBidi" w:cstheme="majorBidi"/>
          <w:sz w:val="24"/>
          <w:szCs w:val="24"/>
        </w:rPr>
        <w:t xml:space="preserve">A substantial body of work has explored AI's potential to enhance core language skills, particularly in grammar, vocabulary, and writing. Pawestri and Pratolo's (2024) review in ADJES highlights that tools such as Grammarly, Quillbot, and ChatGPT can help learners generate ideas, improve lexical choice, and reduce grammatical errors in drafts. Learners tend to perceive AI-based grammar correction tools as helpful for identifying mistakes they might otherwise overlook and for increasing the accuracy and fluency of their written output. In their systematic review, Manzoor and Jamil (2025) report that repeated interaction with AI feedback can be associated with reductions in certain error types, </w:t>
      </w:r>
      <w:proofErr w:type="gramStart"/>
      <w:r w:rsidRPr="00042E0A">
        <w:rPr>
          <w:rFonts w:asciiTheme="majorBidi" w:hAnsiTheme="majorBidi" w:cstheme="majorBidi"/>
          <w:sz w:val="24"/>
          <w:szCs w:val="24"/>
        </w:rPr>
        <w:t>provided that</w:t>
      </w:r>
      <w:proofErr w:type="gramEnd"/>
      <w:r w:rsidRPr="00042E0A">
        <w:rPr>
          <w:rFonts w:asciiTheme="majorBidi" w:hAnsiTheme="majorBidi" w:cstheme="majorBidi"/>
          <w:sz w:val="24"/>
          <w:szCs w:val="24"/>
        </w:rPr>
        <w:t xml:space="preserve"> students engage reflectively with the suggestions rather than accepting them mechanically.</w:t>
      </w:r>
    </w:p>
    <w:p w14:paraId="215C8A47" w14:textId="7CDA3170" w:rsidR="00D47736" w:rsidRPr="00D47736" w:rsidRDefault="00042E0A" w:rsidP="00AF4612">
      <w:pPr>
        <w:spacing w:before="0" w:after="120" w:line="480" w:lineRule="auto"/>
        <w:rPr>
          <w:rFonts w:asciiTheme="majorBidi" w:hAnsiTheme="majorBidi" w:cstheme="majorBidi"/>
          <w:sz w:val="24"/>
          <w:szCs w:val="24"/>
        </w:rPr>
      </w:pPr>
      <w:r w:rsidRPr="00042E0A">
        <w:rPr>
          <w:rFonts w:asciiTheme="majorBidi" w:hAnsiTheme="majorBidi" w:cstheme="majorBidi"/>
          <w:sz w:val="24"/>
          <w:szCs w:val="24"/>
        </w:rPr>
        <w:t>In writing, AI-supported tools can serve as both drafting and revision aids. A quasi-experimental study on AI-assisted learning and EFL writing proficiency shows that students who received AI-mediated feedback improved more in overall writing scores than those who relied solely on traditional feedback (</w:t>
      </w:r>
      <w:r w:rsidR="00112416">
        <w:rPr>
          <w:rFonts w:asciiTheme="majorBidi" w:hAnsiTheme="majorBidi" w:cstheme="majorBidi"/>
          <w:sz w:val="24"/>
          <w:szCs w:val="24"/>
        </w:rPr>
        <w:t>Alangari</w:t>
      </w:r>
      <w:r w:rsidRPr="00042E0A">
        <w:rPr>
          <w:rFonts w:asciiTheme="majorBidi" w:hAnsiTheme="majorBidi" w:cstheme="majorBidi"/>
          <w:sz w:val="24"/>
          <w:szCs w:val="24"/>
        </w:rPr>
        <w:t>, 202</w:t>
      </w:r>
      <w:r w:rsidR="00112416">
        <w:rPr>
          <w:rFonts w:asciiTheme="majorBidi" w:hAnsiTheme="majorBidi" w:cstheme="majorBidi"/>
          <w:sz w:val="24"/>
          <w:szCs w:val="24"/>
        </w:rPr>
        <w:t>5</w:t>
      </w:r>
      <w:r w:rsidRPr="00042E0A">
        <w:rPr>
          <w:rFonts w:asciiTheme="majorBidi" w:hAnsiTheme="majorBidi" w:cstheme="majorBidi"/>
          <w:sz w:val="24"/>
          <w:szCs w:val="24"/>
        </w:rPr>
        <w:t xml:space="preserve">). </w:t>
      </w:r>
      <w:r w:rsidR="00D80611" w:rsidRPr="00D80611">
        <w:rPr>
          <w:rFonts w:asciiTheme="majorBidi" w:hAnsiTheme="majorBidi" w:cstheme="majorBidi"/>
          <w:sz w:val="24"/>
          <w:szCs w:val="24"/>
        </w:rPr>
        <w:t>AI feedback is often perceived as faster and more immediate than traditional teacher feedback, although teachers may provide more nuanced explanations and contextual guidance (</w:t>
      </w:r>
      <w:r w:rsidR="00112416">
        <w:rPr>
          <w:rFonts w:asciiTheme="majorBidi" w:hAnsiTheme="majorBidi" w:cstheme="majorBidi"/>
          <w:sz w:val="24"/>
          <w:szCs w:val="24"/>
        </w:rPr>
        <w:t>Alangari</w:t>
      </w:r>
      <w:r w:rsidR="00D80611" w:rsidRPr="00D80611">
        <w:rPr>
          <w:rFonts w:asciiTheme="majorBidi" w:hAnsiTheme="majorBidi" w:cstheme="majorBidi"/>
          <w:sz w:val="24"/>
          <w:szCs w:val="24"/>
        </w:rPr>
        <w:t>, 202</w:t>
      </w:r>
      <w:r w:rsidR="00112416">
        <w:rPr>
          <w:rFonts w:asciiTheme="majorBidi" w:hAnsiTheme="majorBidi" w:cstheme="majorBidi"/>
          <w:sz w:val="24"/>
          <w:szCs w:val="24"/>
        </w:rPr>
        <w:t>5</w:t>
      </w:r>
      <w:r w:rsidR="00D80611" w:rsidRPr="00D80611">
        <w:rPr>
          <w:rFonts w:asciiTheme="majorBidi" w:hAnsiTheme="majorBidi" w:cstheme="majorBidi"/>
          <w:sz w:val="24"/>
          <w:szCs w:val="24"/>
        </w:rPr>
        <w:t>)</w:t>
      </w:r>
      <w:r w:rsidRPr="00042E0A">
        <w:rPr>
          <w:rFonts w:asciiTheme="majorBidi" w:hAnsiTheme="majorBidi" w:cstheme="majorBidi"/>
          <w:sz w:val="24"/>
          <w:szCs w:val="24"/>
        </w:rPr>
        <w:t xml:space="preserve">. However, both Manzoor and Jamil (2025) and </w:t>
      </w:r>
      <w:r w:rsidR="0054153C" w:rsidRPr="0054153C">
        <w:rPr>
          <w:rFonts w:asciiTheme="majorBidi" w:hAnsiTheme="majorBidi" w:cstheme="majorBidi"/>
          <w:sz w:val="24"/>
          <w:szCs w:val="24"/>
        </w:rPr>
        <w:t>Saud</w:t>
      </w:r>
      <w:r w:rsidRPr="00042E0A">
        <w:rPr>
          <w:rFonts w:asciiTheme="majorBidi" w:hAnsiTheme="majorBidi" w:cstheme="majorBidi"/>
          <w:sz w:val="24"/>
          <w:szCs w:val="24"/>
        </w:rPr>
        <w:t xml:space="preserve"> (2025) caution that the pedagogical value of AI feedback depends heavily on how learners interact with it. When students use AI suggestions as prompts for self-explanation, comparison, and revision, the tools can support deeper language awareness; when </w:t>
      </w:r>
      <w:r w:rsidRPr="00042E0A">
        <w:rPr>
          <w:rFonts w:asciiTheme="majorBidi" w:hAnsiTheme="majorBidi" w:cstheme="majorBidi"/>
          <w:sz w:val="24"/>
          <w:szCs w:val="24"/>
        </w:rPr>
        <w:lastRenderedPageBreak/>
        <w:t>they accept suggestions passively, AI risks becoming a shortcut rather than a learning opportunity.</w:t>
      </w:r>
      <w:r w:rsidR="00D80611">
        <w:rPr>
          <w:rFonts w:asciiTheme="majorBidi" w:hAnsiTheme="majorBidi" w:cstheme="majorBidi"/>
          <w:sz w:val="24"/>
          <w:szCs w:val="24"/>
        </w:rPr>
        <w:t xml:space="preserve"> </w:t>
      </w:r>
      <w:r w:rsidR="00D80611" w:rsidRPr="00D80611">
        <w:rPr>
          <w:rFonts w:asciiTheme="majorBidi" w:hAnsiTheme="majorBidi" w:cstheme="majorBidi"/>
          <w:sz w:val="24"/>
          <w:szCs w:val="24"/>
        </w:rPr>
        <w:t>For translation learners, such feedback may support the development of error awareness and lexical sensitivity when students compare AI-generated suggestions with their own translations.</w:t>
      </w:r>
    </w:p>
    <w:p w14:paraId="76319C68" w14:textId="77777777" w:rsidR="00D47736" w:rsidRPr="00D47736" w:rsidRDefault="00D47736" w:rsidP="00AF4612">
      <w:pPr>
        <w:spacing w:before="0" w:after="120" w:line="480" w:lineRule="auto"/>
        <w:ind w:left="270" w:hanging="270"/>
        <w:rPr>
          <w:rFonts w:asciiTheme="majorBidi" w:hAnsiTheme="majorBidi" w:cstheme="majorBidi"/>
          <w:i/>
          <w:iCs/>
          <w:sz w:val="24"/>
          <w:szCs w:val="24"/>
        </w:rPr>
      </w:pPr>
      <w:r w:rsidRPr="00D47736">
        <w:rPr>
          <w:rFonts w:asciiTheme="majorBidi" w:hAnsiTheme="majorBidi" w:cstheme="majorBidi"/>
          <w:i/>
          <w:iCs/>
          <w:sz w:val="24"/>
          <w:szCs w:val="24"/>
        </w:rPr>
        <w:t>2.2.2. Self-paced learning and learner autonomy</w:t>
      </w:r>
    </w:p>
    <w:p w14:paraId="1EF9AAF3" w14:textId="565E0708" w:rsidR="00042E0A" w:rsidRPr="00042E0A" w:rsidRDefault="00042E0A" w:rsidP="00AF4612">
      <w:pPr>
        <w:spacing w:before="0" w:after="120" w:line="480" w:lineRule="auto"/>
        <w:rPr>
          <w:rFonts w:asciiTheme="majorBidi" w:hAnsiTheme="majorBidi" w:cstheme="majorBidi"/>
          <w:sz w:val="24"/>
          <w:szCs w:val="24"/>
        </w:rPr>
      </w:pPr>
      <w:r w:rsidRPr="00042E0A">
        <w:rPr>
          <w:rFonts w:asciiTheme="majorBidi" w:hAnsiTheme="majorBidi" w:cstheme="majorBidi"/>
          <w:sz w:val="24"/>
          <w:szCs w:val="24"/>
        </w:rPr>
        <w:t xml:space="preserve">Beyond discrete language skills, AI has been promoted </w:t>
      </w:r>
      <w:proofErr w:type="gramStart"/>
      <w:r w:rsidRPr="00042E0A">
        <w:rPr>
          <w:rFonts w:asciiTheme="majorBidi" w:hAnsiTheme="majorBidi" w:cstheme="majorBidi"/>
          <w:sz w:val="24"/>
          <w:szCs w:val="24"/>
        </w:rPr>
        <w:t>as a means to</w:t>
      </w:r>
      <w:proofErr w:type="gramEnd"/>
      <w:r w:rsidRPr="00042E0A">
        <w:rPr>
          <w:rFonts w:asciiTheme="majorBidi" w:hAnsiTheme="majorBidi" w:cstheme="majorBidi"/>
          <w:sz w:val="24"/>
          <w:szCs w:val="24"/>
        </w:rPr>
        <w:t xml:space="preserve"> foster self-paced learning and learner autonomy. Manzoor and Jamil (2025) describe how AI-integrated systems can adapt task difficulty to learners' performance, provide tailored recommendations, and support flexible practice schedules. </w:t>
      </w:r>
      <w:r w:rsidR="0054153C" w:rsidRPr="0054153C">
        <w:rPr>
          <w:rFonts w:asciiTheme="majorBidi" w:hAnsiTheme="majorBidi" w:cstheme="majorBidi"/>
          <w:sz w:val="24"/>
          <w:szCs w:val="24"/>
        </w:rPr>
        <w:t>Saud</w:t>
      </w:r>
      <w:r w:rsidRPr="00042E0A">
        <w:rPr>
          <w:rFonts w:asciiTheme="majorBidi" w:hAnsiTheme="majorBidi" w:cstheme="majorBidi"/>
          <w:sz w:val="24"/>
          <w:szCs w:val="24"/>
        </w:rPr>
        <w:t xml:space="preserve"> (2025) </w:t>
      </w:r>
      <w:proofErr w:type="gramStart"/>
      <w:r w:rsidRPr="00042E0A">
        <w:rPr>
          <w:rFonts w:asciiTheme="majorBidi" w:hAnsiTheme="majorBidi" w:cstheme="majorBidi"/>
          <w:sz w:val="24"/>
          <w:szCs w:val="24"/>
        </w:rPr>
        <w:t>add</w:t>
      </w:r>
      <w:proofErr w:type="gramEnd"/>
      <w:r w:rsidRPr="00042E0A">
        <w:rPr>
          <w:rFonts w:asciiTheme="majorBidi" w:hAnsiTheme="majorBidi" w:cstheme="majorBidi"/>
          <w:sz w:val="24"/>
          <w:szCs w:val="24"/>
        </w:rPr>
        <w:t xml:space="preserve"> that conversational agents and chatbots can offer extended opportunities for language use outside the classroom, which is particularly relevant in EFL contexts where authentic interaction is limited. When learners perceive AI tools as controllable, useful, and aligned with their goals, they are more likely to integrate them into their personal learning routines as supplemental tutoring.</w:t>
      </w:r>
    </w:p>
    <w:p w14:paraId="06E6450D" w14:textId="530ABCFA" w:rsidR="00D47736" w:rsidRDefault="00042E0A" w:rsidP="00AF4612">
      <w:pPr>
        <w:spacing w:before="0" w:after="120" w:line="480" w:lineRule="auto"/>
        <w:rPr>
          <w:rFonts w:asciiTheme="majorBidi" w:hAnsiTheme="majorBidi" w:cstheme="majorBidi"/>
          <w:sz w:val="24"/>
          <w:szCs w:val="24"/>
        </w:rPr>
      </w:pPr>
      <w:r w:rsidRPr="00042E0A">
        <w:rPr>
          <w:rFonts w:asciiTheme="majorBidi" w:hAnsiTheme="majorBidi" w:cstheme="majorBidi"/>
          <w:sz w:val="24"/>
          <w:szCs w:val="24"/>
        </w:rPr>
        <w:t>At the same time, promoting autonomy through AI is not automatic. The ERIC paper on ethical issues notes that some students become overly dependent on AI for answers and corrections, especially when they are under time pressure or lack confidence in their language ability (</w:t>
      </w:r>
      <w:r w:rsidR="006E374B">
        <w:rPr>
          <w:rFonts w:asciiTheme="majorBidi" w:hAnsiTheme="majorBidi" w:cstheme="majorBidi"/>
          <w:sz w:val="24"/>
          <w:szCs w:val="24"/>
        </w:rPr>
        <w:t>Lam et al.</w:t>
      </w:r>
      <w:r w:rsidRPr="00042E0A">
        <w:rPr>
          <w:rFonts w:asciiTheme="majorBidi" w:hAnsiTheme="majorBidi" w:cstheme="majorBidi"/>
          <w:sz w:val="24"/>
          <w:szCs w:val="24"/>
        </w:rPr>
        <w:t>, 202</w:t>
      </w:r>
      <w:r w:rsidR="00DC4220">
        <w:rPr>
          <w:rFonts w:asciiTheme="majorBidi" w:hAnsiTheme="majorBidi" w:cstheme="majorBidi"/>
          <w:sz w:val="24"/>
          <w:szCs w:val="24"/>
        </w:rPr>
        <w:t>5</w:t>
      </w:r>
      <w:r w:rsidRPr="00042E0A">
        <w:rPr>
          <w:rFonts w:asciiTheme="majorBidi" w:hAnsiTheme="majorBidi" w:cstheme="majorBidi"/>
          <w:sz w:val="24"/>
          <w:szCs w:val="24"/>
        </w:rPr>
        <w:t xml:space="preserve">). In such cases, AI can reduce opportunities for productive struggle and experimentation, which are important for long-term language development. These findings suggest that teachers need to frame AI use explicitly as a support for learning processes rather than as a shortcut to finished products, for example by asking students to justify why they accept or reject </w:t>
      </w:r>
      <w:proofErr w:type="gramStart"/>
      <w:r w:rsidRPr="00042E0A">
        <w:rPr>
          <w:rFonts w:asciiTheme="majorBidi" w:hAnsiTheme="majorBidi" w:cstheme="majorBidi"/>
          <w:sz w:val="24"/>
          <w:szCs w:val="24"/>
        </w:rPr>
        <w:t>particular AI</w:t>
      </w:r>
      <w:proofErr w:type="gramEnd"/>
      <w:r w:rsidRPr="00042E0A">
        <w:rPr>
          <w:rFonts w:asciiTheme="majorBidi" w:hAnsiTheme="majorBidi" w:cstheme="majorBidi"/>
          <w:sz w:val="24"/>
          <w:szCs w:val="24"/>
        </w:rPr>
        <w:t xml:space="preserve"> suggestions.</w:t>
      </w:r>
      <w:r w:rsidR="00D80611">
        <w:rPr>
          <w:rFonts w:asciiTheme="majorBidi" w:hAnsiTheme="majorBidi" w:cstheme="majorBidi"/>
          <w:sz w:val="24"/>
          <w:szCs w:val="24"/>
        </w:rPr>
        <w:t xml:space="preserve"> </w:t>
      </w:r>
      <w:r w:rsidR="00D80611" w:rsidRPr="00D80611">
        <w:rPr>
          <w:rFonts w:asciiTheme="majorBidi" w:hAnsiTheme="majorBidi" w:cstheme="majorBidi"/>
          <w:sz w:val="24"/>
          <w:szCs w:val="24"/>
        </w:rPr>
        <w:t>These characteristics align with the concept of self-regulated learning, where learners actively monitor their progress, evaluate feedback, and adjust their learning strategies during task completion (Zimmerman, 2000).</w:t>
      </w:r>
    </w:p>
    <w:p w14:paraId="639A1860" w14:textId="77777777" w:rsidR="00D47736" w:rsidRPr="00D47736" w:rsidRDefault="00D47736" w:rsidP="00AF4612">
      <w:pPr>
        <w:spacing w:before="0" w:after="120" w:line="480" w:lineRule="auto"/>
        <w:ind w:left="270" w:hanging="270"/>
        <w:rPr>
          <w:rFonts w:asciiTheme="majorBidi" w:hAnsiTheme="majorBidi" w:cstheme="majorBidi"/>
          <w:i/>
          <w:iCs/>
          <w:sz w:val="24"/>
          <w:szCs w:val="24"/>
        </w:rPr>
      </w:pPr>
      <w:r w:rsidRPr="00D47736">
        <w:rPr>
          <w:rFonts w:asciiTheme="majorBidi" w:hAnsiTheme="majorBidi" w:cstheme="majorBidi"/>
          <w:i/>
          <w:iCs/>
          <w:sz w:val="24"/>
          <w:szCs w:val="24"/>
        </w:rPr>
        <w:t>2.2.3. Risks of overreliance and passive learning</w:t>
      </w:r>
    </w:p>
    <w:p w14:paraId="048A503F" w14:textId="64AEB57C" w:rsidR="00042E0A" w:rsidRPr="00042E0A" w:rsidRDefault="00042E0A" w:rsidP="00AF4612">
      <w:pPr>
        <w:spacing w:before="0" w:after="120" w:line="480" w:lineRule="auto"/>
        <w:rPr>
          <w:rFonts w:asciiTheme="majorBidi" w:hAnsiTheme="majorBidi" w:cstheme="majorBidi"/>
          <w:sz w:val="24"/>
          <w:szCs w:val="24"/>
        </w:rPr>
      </w:pPr>
      <w:r w:rsidRPr="00042E0A">
        <w:rPr>
          <w:rFonts w:asciiTheme="majorBidi" w:hAnsiTheme="majorBidi" w:cstheme="majorBidi"/>
          <w:sz w:val="24"/>
          <w:szCs w:val="24"/>
        </w:rPr>
        <w:lastRenderedPageBreak/>
        <w:t>An emerging strand of research focuses on potential negative effects of AI-supported learning on learners' cognitive and metacognitive development. The ERIC article emphasizes that overreliance on AI can lead to offloading not only mechanical aspects of writing but also higher-order thinking, such as organizing ideas and evaluating information (</w:t>
      </w:r>
      <w:r w:rsidR="006E374B">
        <w:rPr>
          <w:rFonts w:asciiTheme="majorBidi" w:hAnsiTheme="majorBidi" w:cstheme="majorBidi"/>
          <w:sz w:val="24"/>
          <w:szCs w:val="24"/>
        </w:rPr>
        <w:t>Lam et al.</w:t>
      </w:r>
      <w:r w:rsidRPr="00042E0A">
        <w:rPr>
          <w:rFonts w:asciiTheme="majorBidi" w:hAnsiTheme="majorBidi" w:cstheme="majorBidi"/>
          <w:sz w:val="24"/>
          <w:szCs w:val="24"/>
        </w:rPr>
        <w:t>, 202</w:t>
      </w:r>
      <w:r w:rsidR="004630CA">
        <w:rPr>
          <w:rFonts w:asciiTheme="majorBidi" w:hAnsiTheme="majorBidi" w:cstheme="majorBidi"/>
          <w:sz w:val="24"/>
          <w:szCs w:val="24"/>
        </w:rPr>
        <w:t>5</w:t>
      </w:r>
      <w:r w:rsidRPr="00042E0A">
        <w:rPr>
          <w:rFonts w:asciiTheme="majorBidi" w:hAnsiTheme="majorBidi" w:cstheme="majorBidi"/>
          <w:sz w:val="24"/>
          <w:szCs w:val="24"/>
        </w:rPr>
        <w:t>). When learners rely on AI-generated text or suggestions without critical evaluation, they may gradually lose confidence in their own linguistic and rhetorical abilities. Manzoor and Jamil (2025) similarly argue that passive acceptance of AI feedback can interfere with the development of metalinguistic awareness, as students focus on surface correctness rather than underlying grammatical or discourse patterns.</w:t>
      </w:r>
    </w:p>
    <w:p w14:paraId="69ADCFCA" w14:textId="744257A8" w:rsidR="00D47736" w:rsidRPr="00D47736" w:rsidRDefault="00042E0A" w:rsidP="00AF4612">
      <w:pPr>
        <w:spacing w:before="0" w:after="120" w:line="480" w:lineRule="auto"/>
        <w:rPr>
          <w:rFonts w:asciiTheme="majorBidi" w:hAnsiTheme="majorBidi" w:cstheme="majorBidi"/>
          <w:sz w:val="24"/>
          <w:szCs w:val="24"/>
        </w:rPr>
      </w:pPr>
      <w:r w:rsidRPr="00042E0A">
        <w:rPr>
          <w:rFonts w:asciiTheme="majorBidi" w:hAnsiTheme="majorBidi" w:cstheme="majorBidi"/>
          <w:sz w:val="24"/>
          <w:szCs w:val="24"/>
        </w:rPr>
        <w:t xml:space="preserve">These concerns do not negate AI's pedagogical value, but they underscore the need for more nuanced integration. Manzoor and Jamil (2025) recommend that AI tools be embedded in instructional designs that promote reflection, questioning, and comparison between AI output and students' original work. In a similar vein, Compagnoni's (2025) article calls for cultivating </w:t>
      </w:r>
      <w:r w:rsidR="005C0ED6" w:rsidRPr="005C0ED6">
        <w:rPr>
          <w:rFonts w:asciiTheme="majorBidi" w:hAnsiTheme="majorBidi" w:cstheme="majorBidi"/>
          <w:sz w:val="24"/>
          <w:szCs w:val="24"/>
        </w:rPr>
        <w:t>critical AI literacy so that learners evaluate AI output rather than accepting it uncritically.</w:t>
      </w:r>
      <w:r w:rsidRPr="00042E0A">
        <w:rPr>
          <w:rFonts w:asciiTheme="majorBidi" w:hAnsiTheme="majorBidi" w:cstheme="majorBidi"/>
          <w:sz w:val="24"/>
          <w:szCs w:val="24"/>
        </w:rPr>
        <w:t xml:space="preserve"> For English majors who are likely to become language professionals or educators, developing such critical literacy is especially important.</w:t>
      </w:r>
    </w:p>
    <w:p w14:paraId="434E5DAC" w14:textId="0919ED3B" w:rsidR="00D47736" w:rsidRPr="00E40940" w:rsidRDefault="00D47736" w:rsidP="00AF4612">
      <w:pPr>
        <w:pStyle w:val="RALs-Heading2"/>
        <w:spacing w:before="0" w:after="120" w:line="480" w:lineRule="auto"/>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w:t>
      </w:r>
      <w:r w:rsidR="00C51280">
        <w:rPr>
          <w:rFonts w:asciiTheme="majorBidi" w:hAnsiTheme="majorBidi" w:cstheme="majorBidi"/>
          <w:sz w:val="24"/>
          <w:szCs w:val="24"/>
        </w:rPr>
        <w:t>3</w:t>
      </w:r>
      <w:r w:rsidRPr="00E40940">
        <w:rPr>
          <w:rFonts w:asciiTheme="majorBidi" w:hAnsiTheme="majorBidi" w:cstheme="majorBidi"/>
          <w:sz w:val="24"/>
          <w:szCs w:val="24"/>
        </w:rPr>
        <w:t xml:space="preserve">. </w:t>
      </w:r>
      <w:r w:rsidR="00050F16" w:rsidRPr="00050F16">
        <w:rPr>
          <w:rFonts w:asciiTheme="majorBidi" w:hAnsiTheme="majorBidi" w:cstheme="majorBidi"/>
          <w:sz w:val="24"/>
          <w:szCs w:val="24"/>
        </w:rPr>
        <w:t>Ethical Considerations in AI-Supported Learning</w:t>
      </w:r>
    </w:p>
    <w:p w14:paraId="476265BC" w14:textId="3FFE3CE3" w:rsidR="00D47736" w:rsidRDefault="00D47736" w:rsidP="00AF4612">
      <w:pPr>
        <w:pStyle w:val="RALs-Heading3"/>
        <w:spacing w:before="0" w:after="120" w:line="480" w:lineRule="auto"/>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w:t>
      </w:r>
      <w:r w:rsidR="00C51280">
        <w:rPr>
          <w:rFonts w:asciiTheme="majorBidi" w:hAnsiTheme="majorBidi" w:cstheme="majorBidi"/>
          <w:sz w:val="24"/>
          <w:szCs w:val="24"/>
        </w:rPr>
        <w:t>3</w:t>
      </w:r>
      <w:r w:rsidRPr="00E40940">
        <w:rPr>
          <w:rFonts w:asciiTheme="majorBidi" w:hAnsiTheme="majorBidi" w:cstheme="majorBidi"/>
          <w:sz w:val="24"/>
          <w:szCs w:val="24"/>
        </w:rPr>
        <w:t xml:space="preserve">.1. </w:t>
      </w:r>
      <w:r w:rsidR="00C51280" w:rsidRPr="00C51280">
        <w:rPr>
          <w:rFonts w:asciiTheme="majorBidi" w:hAnsiTheme="majorBidi" w:cstheme="majorBidi"/>
          <w:sz w:val="24"/>
          <w:szCs w:val="24"/>
        </w:rPr>
        <w:t>Academic integrity, authorship, and authenticity</w:t>
      </w:r>
    </w:p>
    <w:p w14:paraId="5E51AFA2" w14:textId="35365811" w:rsidR="00042E0A" w:rsidRPr="00042E0A" w:rsidRDefault="00042E0A" w:rsidP="00AF4612">
      <w:pPr>
        <w:spacing w:before="0" w:after="120" w:line="480" w:lineRule="auto"/>
        <w:rPr>
          <w:rFonts w:asciiTheme="majorBidi" w:hAnsiTheme="majorBidi" w:cstheme="majorBidi"/>
          <w:sz w:val="24"/>
          <w:szCs w:val="24"/>
        </w:rPr>
      </w:pPr>
      <w:r w:rsidRPr="00042E0A">
        <w:rPr>
          <w:rFonts w:asciiTheme="majorBidi" w:hAnsiTheme="majorBidi" w:cstheme="majorBidi"/>
          <w:sz w:val="24"/>
          <w:szCs w:val="24"/>
        </w:rPr>
        <w:t>Ethical debates around AI in education have largely centered on academic integrity and the boundaries between legitimate support and academic misconduct. In language education, these concerns are particularly salient because AI systems can generate fluent, human-like text on demand. The ERIC paper documents how students and teachers struggle to define when AI-assisted writing becomes plagiarism and how authorship should be understood when AI contributes to idea generation, organization, or phrasing (</w:t>
      </w:r>
      <w:r w:rsidR="006E374B">
        <w:rPr>
          <w:rFonts w:asciiTheme="majorBidi" w:hAnsiTheme="majorBidi" w:cstheme="majorBidi"/>
          <w:sz w:val="24"/>
          <w:szCs w:val="24"/>
        </w:rPr>
        <w:t>Lam et al.</w:t>
      </w:r>
      <w:r w:rsidRPr="00042E0A">
        <w:rPr>
          <w:rFonts w:asciiTheme="majorBidi" w:hAnsiTheme="majorBidi" w:cstheme="majorBidi"/>
          <w:sz w:val="24"/>
          <w:szCs w:val="24"/>
        </w:rPr>
        <w:t>, 202</w:t>
      </w:r>
      <w:r w:rsidR="00DC4220">
        <w:rPr>
          <w:rFonts w:asciiTheme="majorBidi" w:hAnsiTheme="majorBidi" w:cstheme="majorBidi"/>
          <w:sz w:val="24"/>
          <w:szCs w:val="24"/>
        </w:rPr>
        <w:t>5</w:t>
      </w:r>
      <w:r w:rsidRPr="00042E0A">
        <w:rPr>
          <w:rFonts w:asciiTheme="majorBidi" w:hAnsiTheme="majorBidi" w:cstheme="majorBidi"/>
          <w:sz w:val="24"/>
          <w:szCs w:val="24"/>
        </w:rPr>
        <w:t xml:space="preserve">). Some participants </w:t>
      </w:r>
      <w:r w:rsidRPr="00042E0A">
        <w:rPr>
          <w:rFonts w:asciiTheme="majorBidi" w:hAnsiTheme="majorBidi" w:cstheme="majorBidi"/>
          <w:sz w:val="24"/>
          <w:szCs w:val="24"/>
        </w:rPr>
        <w:lastRenderedPageBreak/>
        <w:t>viewed AI use for surface-level editing as acceptable, while considering extensive reliance on AI-generated content without acknowledgment to be unethical.</w:t>
      </w:r>
      <w:r w:rsidR="000B1F09">
        <w:rPr>
          <w:rFonts w:asciiTheme="majorBidi" w:hAnsiTheme="majorBidi" w:cstheme="majorBidi"/>
          <w:sz w:val="24"/>
          <w:szCs w:val="24"/>
        </w:rPr>
        <w:t xml:space="preserve"> </w:t>
      </w:r>
      <w:r w:rsidR="000B1F09" w:rsidRPr="000B1F09">
        <w:rPr>
          <w:rFonts w:asciiTheme="majorBidi" w:hAnsiTheme="majorBidi" w:cstheme="majorBidi"/>
          <w:sz w:val="24"/>
          <w:szCs w:val="24"/>
        </w:rPr>
        <w:t>These ethical issues are particularly relevant in translation learning, where students may rely on AI-generated translations or paraphrases during coursework and assessments.</w:t>
      </w:r>
    </w:p>
    <w:p w14:paraId="59DE5C6E" w14:textId="7ECBB45D" w:rsidR="00050F16" w:rsidRPr="00C51280" w:rsidRDefault="00042E0A" w:rsidP="00AF4612">
      <w:pPr>
        <w:spacing w:before="0" w:after="120" w:line="480" w:lineRule="auto"/>
        <w:rPr>
          <w:rFonts w:asciiTheme="majorBidi" w:hAnsiTheme="majorBidi" w:cstheme="majorBidi"/>
          <w:sz w:val="24"/>
          <w:szCs w:val="24"/>
        </w:rPr>
      </w:pPr>
      <w:r w:rsidRPr="00042E0A">
        <w:rPr>
          <w:rFonts w:asciiTheme="majorBidi" w:hAnsiTheme="majorBidi" w:cstheme="majorBidi"/>
          <w:sz w:val="24"/>
          <w:szCs w:val="24"/>
        </w:rPr>
        <w:t xml:space="preserve">Compagnoni (2025) also points out that institutional policies often </w:t>
      </w:r>
      <w:proofErr w:type="gramStart"/>
      <w:r w:rsidRPr="00042E0A">
        <w:rPr>
          <w:rFonts w:asciiTheme="majorBidi" w:hAnsiTheme="majorBidi" w:cstheme="majorBidi"/>
          <w:sz w:val="24"/>
          <w:szCs w:val="24"/>
        </w:rPr>
        <w:t>lag behind</w:t>
      </w:r>
      <w:proofErr w:type="gramEnd"/>
      <w:r w:rsidRPr="00042E0A">
        <w:rPr>
          <w:rFonts w:asciiTheme="majorBidi" w:hAnsiTheme="majorBidi" w:cstheme="majorBidi"/>
          <w:sz w:val="24"/>
          <w:szCs w:val="24"/>
        </w:rPr>
        <w:t xml:space="preserve"> technological developments, resulting in inconsistent expectations about AI use across courses and institutions. Policy ambiguity can create anxiety for learners who wish to use AI responsibly but are unsure where the line is drawn, especially in high-stakes assignments. For English majors, whose coursework typically involves substantial written production and critical engagement with texts, clarity about what constitutes ethical AI use is crucial.</w:t>
      </w:r>
    </w:p>
    <w:p w14:paraId="3D9BC46F" w14:textId="05F3C640" w:rsidR="00050F16" w:rsidRDefault="00050F16" w:rsidP="00AF4612">
      <w:pPr>
        <w:pStyle w:val="RALs-Heading3"/>
        <w:spacing w:before="0" w:after="120" w:line="480" w:lineRule="auto"/>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w:t>
      </w:r>
      <w:r w:rsidR="00C51280">
        <w:rPr>
          <w:rFonts w:asciiTheme="majorBidi" w:hAnsiTheme="majorBidi" w:cstheme="majorBidi"/>
          <w:sz w:val="24"/>
          <w:szCs w:val="24"/>
        </w:rPr>
        <w:t>3</w:t>
      </w:r>
      <w:r w:rsidRPr="00E40940">
        <w:rPr>
          <w:rFonts w:asciiTheme="majorBidi" w:hAnsiTheme="majorBidi" w:cstheme="majorBidi"/>
          <w:sz w:val="24"/>
          <w:szCs w:val="24"/>
        </w:rPr>
        <w:t>.</w:t>
      </w:r>
      <w:r w:rsidR="00C51280">
        <w:rPr>
          <w:rFonts w:asciiTheme="majorBidi" w:hAnsiTheme="majorBidi" w:cstheme="majorBidi"/>
          <w:sz w:val="24"/>
          <w:szCs w:val="24"/>
        </w:rPr>
        <w:t>2</w:t>
      </w:r>
      <w:r w:rsidRPr="00E40940">
        <w:rPr>
          <w:rFonts w:asciiTheme="majorBidi" w:hAnsiTheme="majorBidi" w:cstheme="majorBidi"/>
          <w:sz w:val="24"/>
          <w:szCs w:val="24"/>
        </w:rPr>
        <w:t xml:space="preserve">. </w:t>
      </w:r>
      <w:r w:rsidR="00C51280" w:rsidRPr="00C51280">
        <w:rPr>
          <w:rFonts w:asciiTheme="majorBidi" w:hAnsiTheme="majorBidi" w:cstheme="majorBidi"/>
          <w:sz w:val="24"/>
          <w:szCs w:val="24"/>
        </w:rPr>
        <w:t>Data privacy, fairness, and transparency</w:t>
      </w:r>
    </w:p>
    <w:p w14:paraId="0913B404" w14:textId="07AF7D78" w:rsidR="00042E0A" w:rsidRPr="00042E0A" w:rsidRDefault="00042E0A" w:rsidP="00AF4612">
      <w:pPr>
        <w:spacing w:before="0" w:after="120" w:line="480" w:lineRule="auto"/>
        <w:rPr>
          <w:rFonts w:asciiTheme="majorBidi" w:hAnsiTheme="majorBidi" w:cstheme="majorBidi"/>
          <w:sz w:val="24"/>
          <w:szCs w:val="24"/>
        </w:rPr>
      </w:pPr>
      <w:r w:rsidRPr="00042E0A">
        <w:rPr>
          <w:rFonts w:asciiTheme="majorBidi" w:hAnsiTheme="majorBidi" w:cstheme="majorBidi"/>
          <w:sz w:val="24"/>
          <w:szCs w:val="24"/>
        </w:rPr>
        <w:t>Another cluster of ethical concerns relates to data privacy, fairness, and transparency in AI systems. Many AI tools collect and process user data, including text input and usage patterns, yet learners may not fully understand how their data are stored, who can access them, or how they may be used to further train commercial models. Compagnoni (2025) emphasizes that transparency and accountability are key principles for ethical AI in language pedagogy and argues that teachers and institutions should help students understand both the capabilities and limitations of AI tools they are expected to use.</w:t>
      </w:r>
    </w:p>
    <w:p w14:paraId="6103F434" w14:textId="53EDC1A3" w:rsidR="00D47736" w:rsidRDefault="00042E0A" w:rsidP="00AF4612">
      <w:pPr>
        <w:spacing w:before="0" w:after="120" w:line="480" w:lineRule="auto"/>
        <w:rPr>
          <w:rFonts w:asciiTheme="majorBidi" w:hAnsiTheme="majorBidi" w:cstheme="majorBidi"/>
          <w:sz w:val="24"/>
          <w:szCs w:val="24"/>
        </w:rPr>
      </w:pPr>
      <w:r w:rsidRPr="00042E0A">
        <w:rPr>
          <w:rFonts w:asciiTheme="majorBidi" w:hAnsiTheme="majorBidi" w:cstheme="majorBidi"/>
          <w:sz w:val="24"/>
          <w:szCs w:val="24"/>
        </w:rPr>
        <w:t xml:space="preserve">Fairness and bias also present significant challenges. Because AI systems draw on large training datasets, they can reproduce linguistic and cultural biases, for instance by privileging certain varieties of English or by providing feedback that implicitly enforces narrow norms of correctness. Manzoor and Jamil (2025) note that such biases may undermine learners' sense of legitimacy, particularly in contexts where local varieties of English and multilingual practices are part of everyday communication. In response, both the systematic review and the ethical </w:t>
      </w:r>
      <w:r w:rsidRPr="00042E0A">
        <w:rPr>
          <w:rFonts w:asciiTheme="majorBidi" w:hAnsiTheme="majorBidi" w:cstheme="majorBidi"/>
          <w:sz w:val="24"/>
          <w:szCs w:val="24"/>
        </w:rPr>
        <w:lastRenderedPageBreak/>
        <w:t>frontiers article call for more context-sensitive evaluation of AI tools and for pedagogical approaches that encourage learners to question unexpected or problematic AI suggestions rather than accepting them uncritically.</w:t>
      </w:r>
    </w:p>
    <w:p w14:paraId="66FD26A7" w14:textId="5152F7B8" w:rsidR="00050F16" w:rsidRDefault="00050F16" w:rsidP="00AF4612">
      <w:pPr>
        <w:pStyle w:val="RALs-Heading3"/>
        <w:spacing w:before="0" w:after="120" w:line="480" w:lineRule="auto"/>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w:t>
      </w:r>
      <w:r w:rsidR="00216A9B">
        <w:rPr>
          <w:rFonts w:asciiTheme="majorBidi" w:hAnsiTheme="majorBidi" w:cstheme="majorBidi"/>
          <w:sz w:val="24"/>
          <w:szCs w:val="24"/>
        </w:rPr>
        <w:t>3</w:t>
      </w:r>
      <w:r w:rsidRPr="00E40940">
        <w:rPr>
          <w:rFonts w:asciiTheme="majorBidi" w:hAnsiTheme="majorBidi" w:cstheme="majorBidi"/>
          <w:sz w:val="24"/>
          <w:szCs w:val="24"/>
        </w:rPr>
        <w:t>.</w:t>
      </w:r>
      <w:r w:rsidR="00216A9B">
        <w:rPr>
          <w:rFonts w:asciiTheme="majorBidi" w:hAnsiTheme="majorBidi" w:cstheme="majorBidi"/>
          <w:sz w:val="24"/>
          <w:szCs w:val="24"/>
        </w:rPr>
        <w:t>3</w:t>
      </w:r>
      <w:r w:rsidRPr="00E40940">
        <w:rPr>
          <w:rFonts w:asciiTheme="majorBidi" w:hAnsiTheme="majorBidi" w:cstheme="majorBidi"/>
          <w:sz w:val="24"/>
          <w:szCs w:val="24"/>
        </w:rPr>
        <w:t xml:space="preserve">. </w:t>
      </w:r>
      <w:r w:rsidR="00216A9B" w:rsidRPr="00216A9B">
        <w:rPr>
          <w:rFonts w:asciiTheme="majorBidi" w:hAnsiTheme="majorBidi" w:cstheme="majorBidi"/>
          <w:sz w:val="24"/>
          <w:szCs w:val="24"/>
        </w:rPr>
        <w:t>Policy responses and contextualized guidelines</w:t>
      </w:r>
    </w:p>
    <w:p w14:paraId="48EC1C30" w14:textId="4652DDCD" w:rsidR="00042E0A" w:rsidRPr="00042E0A" w:rsidRDefault="00042E0A" w:rsidP="00AF4612">
      <w:pPr>
        <w:spacing w:before="0" w:after="120" w:line="480" w:lineRule="auto"/>
        <w:rPr>
          <w:rFonts w:asciiTheme="majorBidi" w:hAnsiTheme="majorBidi" w:cstheme="majorBidi"/>
          <w:sz w:val="24"/>
          <w:szCs w:val="24"/>
        </w:rPr>
      </w:pPr>
      <w:r w:rsidRPr="00042E0A">
        <w:rPr>
          <w:rFonts w:asciiTheme="majorBidi" w:hAnsiTheme="majorBidi" w:cstheme="majorBidi"/>
          <w:sz w:val="24"/>
          <w:szCs w:val="24"/>
        </w:rPr>
        <w:t>In response to these ethical challenges, institutions and professional organizations have begun to articulate principles for responsible AI use in education. Compagnoni (2025) proposes a framework centered on transparency, accountability, and equity, arguing that AI should remain under human control and that learners should be explicitly taught how to use AI ethically, including when and how to disclose AI assistance in academic work. The ERIC article likewise recommends that universities provide clear, discipline-specific guidelines on AI use in coursework, rather than blanket bans or vague statements (</w:t>
      </w:r>
      <w:r w:rsidR="006E374B">
        <w:rPr>
          <w:rFonts w:asciiTheme="majorBidi" w:hAnsiTheme="majorBidi" w:cstheme="majorBidi"/>
          <w:sz w:val="24"/>
          <w:szCs w:val="24"/>
        </w:rPr>
        <w:t>Lam et al.</w:t>
      </w:r>
      <w:r w:rsidRPr="00042E0A">
        <w:rPr>
          <w:rFonts w:asciiTheme="majorBidi" w:hAnsiTheme="majorBidi" w:cstheme="majorBidi"/>
          <w:sz w:val="24"/>
          <w:szCs w:val="24"/>
        </w:rPr>
        <w:t>, 202</w:t>
      </w:r>
      <w:r w:rsidR="00DC4220">
        <w:rPr>
          <w:rFonts w:asciiTheme="majorBidi" w:hAnsiTheme="majorBidi" w:cstheme="majorBidi"/>
          <w:sz w:val="24"/>
          <w:szCs w:val="24"/>
        </w:rPr>
        <w:t>5</w:t>
      </w:r>
      <w:r w:rsidRPr="00042E0A">
        <w:rPr>
          <w:rFonts w:asciiTheme="majorBidi" w:hAnsiTheme="majorBidi" w:cstheme="majorBidi"/>
          <w:sz w:val="24"/>
          <w:szCs w:val="24"/>
        </w:rPr>
        <w:t>).</w:t>
      </w:r>
    </w:p>
    <w:p w14:paraId="080FF380" w14:textId="1A019A6F" w:rsidR="00050F16" w:rsidRDefault="0054153C" w:rsidP="00AF4612">
      <w:pPr>
        <w:spacing w:before="0" w:after="120" w:line="480" w:lineRule="auto"/>
        <w:rPr>
          <w:rFonts w:asciiTheme="majorBidi" w:hAnsiTheme="majorBidi" w:cstheme="majorBidi"/>
          <w:sz w:val="24"/>
          <w:szCs w:val="24"/>
        </w:rPr>
      </w:pPr>
      <w:r w:rsidRPr="0054153C">
        <w:rPr>
          <w:rFonts w:asciiTheme="majorBidi" w:hAnsiTheme="majorBidi" w:cstheme="majorBidi"/>
          <w:sz w:val="24"/>
          <w:szCs w:val="24"/>
        </w:rPr>
        <w:t>Saud</w:t>
      </w:r>
      <w:r w:rsidR="00042E0A" w:rsidRPr="00042E0A">
        <w:rPr>
          <w:rFonts w:asciiTheme="majorBidi" w:hAnsiTheme="majorBidi" w:cstheme="majorBidi"/>
          <w:sz w:val="24"/>
          <w:szCs w:val="24"/>
        </w:rPr>
        <w:t xml:space="preserve"> (2025) </w:t>
      </w:r>
      <w:proofErr w:type="gramStart"/>
      <w:r w:rsidR="00042E0A" w:rsidRPr="00042E0A">
        <w:rPr>
          <w:rFonts w:asciiTheme="majorBidi" w:hAnsiTheme="majorBidi" w:cstheme="majorBidi"/>
          <w:sz w:val="24"/>
          <w:szCs w:val="24"/>
        </w:rPr>
        <w:t>observe</w:t>
      </w:r>
      <w:proofErr w:type="gramEnd"/>
      <w:r w:rsidR="00042E0A" w:rsidRPr="00042E0A">
        <w:rPr>
          <w:rFonts w:asciiTheme="majorBidi" w:hAnsiTheme="majorBidi" w:cstheme="majorBidi"/>
          <w:sz w:val="24"/>
          <w:szCs w:val="24"/>
        </w:rPr>
        <w:t xml:space="preserve"> that policy responses vary widely across ESL/EFL contexts, with some institutions restricting AI use in high-stakes assessments, while others encourage experimentation combined with explicit training and reflection. Both </w:t>
      </w:r>
      <w:r w:rsidRPr="0054153C">
        <w:rPr>
          <w:rFonts w:asciiTheme="majorBidi" w:hAnsiTheme="majorBidi" w:cstheme="majorBidi"/>
          <w:sz w:val="24"/>
          <w:szCs w:val="24"/>
        </w:rPr>
        <w:t>Saud</w:t>
      </w:r>
      <w:r w:rsidR="00042E0A" w:rsidRPr="00042E0A">
        <w:rPr>
          <w:rFonts w:asciiTheme="majorBidi" w:hAnsiTheme="majorBidi" w:cstheme="majorBidi"/>
          <w:sz w:val="24"/>
          <w:szCs w:val="24"/>
        </w:rPr>
        <w:t xml:space="preserve"> (2025) and Manzoor and Jamil (2025) highlight the importance of grounding such policies in empirical evidence about how students </w:t>
      </w:r>
      <w:proofErr w:type="gramStart"/>
      <w:r w:rsidR="00042E0A" w:rsidRPr="00042E0A">
        <w:rPr>
          <w:rFonts w:asciiTheme="majorBidi" w:hAnsiTheme="majorBidi" w:cstheme="majorBidi"/>
          <w:sz w:val="24"/>
          <w:szCs w:val="24"/>
        </w:rPr>
        <w:t>actually use</w:t>
      </w:r>
      <w:proofErr w:type="gramEnd"/>
      <w:r w:rsidR="00042E0A" w:rsidRPr="00042E0A">
        <w:rPr>
          <w:rFonts w:asciiTheme="majorBidi" w:hAnsiTheme="majorBidi" w:cstheme="majorBidi"/>
          <w:sz w:val="24"/>
          <w:szCs w:val="24"/>
        </w:rPr>
        <w:t xml:space="preserve"> AI and what they perceive as benefits and risks. This suggests a need for studies that capture local perceptions and that can inform contextually appropriate guidelines, particularly in rapidly changing contexts such as Vietnam.</w:t>
      </w:r>
    </w:p>
    <w:p w14:paraId="6FBC5C6F" w14:textId="1196DE22" w:rsidR="00D47736" w:rsidRPr="00E40940" w:rsidRDefault="00D47736" w:rsidP="00AF4612">
      <w:pPr>
        <w:pStyle w:val="RALs-Heading2"/>
        <w:spacing w:before="0" w:after="120" w:line="480" w:lineRule="auto"/>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w:t>
      </w:r>
      <w:r w:rsidR="0035020A">
        <w:rPr>
          <w:rFonts w:asciiTheme="majorBidi" w:hAnsiTheme="majorBidi" w:cstheme="majorBidi"/>
          <w:sz w:val="24"/>
          <w:szCs w:val="24"/>
        </w:rPr>
        <w:t>4</w:t>
      </w:r>
      <w:r w:rsidRPr="00E40940">
        <w:rPr>
          <w:rFonts w:asciiTheme="majorBidi" w:hAnsiTheme="majorBidi" w:cstheme="majorBidi"/>
          <w:sz w:val="24"/>
          <w:szCs w:val="24"/>
        </w:rPr>
        <w:t xml:space="preserve">. </w:t>
      </w:r>
      <w:r w:rsidR="0035020A" w:rsidRPr="0035020A">
        <w:rPr>
          <w:rFonts w:asciiTheme="majorBidi" w:hAnsiTheme="majorBidi" w:cstheme="majorBidi"/>
          <w:sz w:val="24"/>
          <w:szCs w:val="24"/>
        </w:rPr>
        <w:t>Summary and Research Gap</w:t>
      </w:r>
    </w:p>
    <w:p w14:paraId="33F4D6A8" w14:textId="36088946" w:rsidR="002D59B6" w:rsidRPr="002D59B6" w:rsidRDefault="0013436C" w:rsidP="00AF4612">
      <w:pPr>
        <w:spacing w:before="0" w:after="120" w:line="480" w:lineRule="auto"/>
        <w:rPr>
          <w:rFonts w:asciiTheme="majorBidi" w:hAnsiTheme="majorBidi" w:cstheme="majorBidi"/>
          <w:sz w:val="24"/>
          <w:szCs w:val="24"/>
        </w:rPr>
      </w:pPr>
      <w:r w:rsidRPr="0013436C">
        <w:rPr>
          <w:rFonts w:asciiTheme="majorBidi" w:hAnsiTheme="majorBidi" w:cstheme="majorBidi"/>
          <w:sz w:val="24"/>
          <w:szCs w:val="24"/>
        </w:rPr>
        <w:t>Existing literature demonstrates that AI-supported learning offers meaningful pedagogical benefits</w:t>
      </w:r>
      <w:r>
        <w:rPr>
          <w:rFonts w:asciiTheme="majorBidi" w:hAnsiTheme="majorBidi" w:cstheme="majorBidi"/>
          <w:sz w:val="24"/>
          <w:szCs w:val="24"/>
        </w:rPr>
        <w:t xml:space="preserve">, </w:t>
      </w:r>
      <w:r w:rsidRPr="0013436C">
        <w:rPr>
          <w:rFonts w:asciiTheme="majorBidi" w:hAnsiTheme="majorBidi" w:cstheme="majorBidi"/>
          <w:sz w:val="24"/>
          <w:szCs w:val="24"/>
        </w:rPr>
        <w:t>particularly in vocabulary, writing support, and self-paced learning (Manzoor &amp; Jamil, 2025)</w:t>
      </w:r>
      <w:r>
        <w:rPr>
          <w:rFonts w:asciiTheme="majorBidi" w:hAnsiTheme="majorBidi" w:cstheme="majorBidi"/>
          <w:sz w:val="24"/>
          <w:szCs w:val="24"/>
        </w:rPr>
        <w:t xml:space="preserve">, </w:t>
      </w:r>
      <w:r w:rsidRPr="0013436C">
        <w:rPr>
          <w:rFonts w:asciiTheme="majorBidi" w:hAnsiTheme="majorBidi" w:cstheme="majorBidi"/>
          <w:sz w:val="24"/>
          <w:szCs w:val="24"/>
        </w:rPr>
        <w:t>while simultaneously presenting risks related to cognitive overreliance, passive learning, and academic integrity (</w:t>
      </w:r>
      <w:r w:rsidR="006E374B">
        <w:rPr>
          <w:rFonts w:asciiTheme="majorBidi" w:hAnsiTheme="majorBidi" w:cstheme="majorBidi"/>
          <w:sz w:val="24"/>
          <w:szCs w:val="24"/>
        </w:rPr>
        <w:t>Lam et al.</w:t>
      </w:r>
      <w:r w:rsidRPr="0013436C">
        <w:rPr>
          <w:rFonts w:asciiTheme="majorBidi" w:hAnsiTheme="majorBidi" w:cstheme="majorBidi"/>
          <w:sz w:val="24"/>
          <w:szCs w:val="24"/>
        </w:rPr>
        <w:t xml:space="preserve">, 2025; Compagnoni, 2025). Despite these insights, critical gaps remain. First, most studies focus on general ESL/EFL </w:t>
      </w:r>
      <w:r w:rsidRPr="0013436C">
        <w:rPr>
          <w:rFonts w:asciiTheme="majorBidi" w:hAnsiTheme="majorBidi" w:cstheme="majorBidi"/>
          <w:sz w:val="24"/>
          <w:szCs w:val="24"/>
        </w:rPr>
        <w:lastRenderedPageBreak/>
        <w:t>contexts rather than the specific cognitive demands of translation instruction. Second, empirical research in Vietnamese higher education remains scarce, leaving institutional factors underexplored. Finally, previous studies tend to adopt single frameworks, failing to capture the multidimensional dynamics of EFL translation. Addressing these gaps requires a more comprehensive approach that examines how students’ technology acceptance, teachers’ pedagogical practices, and learners’ self-regulation intersect in AI-supported translation tasks.</w:t>
      </w:r>
    </w:p>
    <w:p w14:paraId="54D4C36D" w14:textId="6622828A" w:rsidR="00D47736" w:rsidRPr="00E40940" w:rsidRDefault="00D47736" w:rsidP="00AF4612">
      <w:pPr>
        <w:pStyle w:val="RALs-Heading2"/>
        <w:spacing w:before="0" w:after="120" w:line="480" w:lineRule="auto"/>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w:t>
      </w:r>
      <w:r w:rsidR="009C6D0A">
        <w:rPr>
          <w:rFonts w:asciiTheme="majorBidi" w:hAnsiTheme="majorBidi" w:cstheme="majorBidi"/>
          <w:sz w:val="24"/>
          <w:szCs w:val="24"/>
        </w:rPr>
        <w:t>5</w:t>
      </w:r>
      <w:r w:rsidRPr="00E40940">
        <w:rPr>
          <w:rFonts w:asciiTheme="majorBidi" w:hAnsiTheme="majorBidi" w:cstheme="majorBidi"/>
          <w:sz w:val="24"/>
          <w:szCs w:val="24"/>
        </w:rPr>
        <w:t xml:space="preserve">. </w:t>
      </w:r>
      <w:r w:rsidR="009C6D0A" w:rsidRPr="009C6D0A">
        <w:rPr>
          <w:rFonts w:asciiTheme="majorBidi" w:hAnsiTheme="majorBidi" w:cstheme="majorBidi"/>
          <w:sz w:val="24"/>
          <w:szCs w:val="24"/>
        </w:rPr>
        <w:t>Theoretical Framework</w:t>
      </w:r>
    </w:p>
    <w:p w14:paraId="0B0F1AF6" w14:textId="057E924A" w:rsidR="00BA2535" w:rsidRPr="00BA2535" w:rsidRDefault="00BA2535" w:rsidP="00AF4612">
      <w:pPr>
        <w:spacing w:before="0" w:after="120" w:line="480" w:lineRule="auto"/>
        <w:rPr>
          <w:rFonts w:asciiTheme="majorBidi" w:hAnsiTheme="majorBidi" w:cstheme="majorBidi"/>
          <w:sz w:val="24"/>
          <w:szCs w:val="24"/>
        </w:rPr>
      </w:pPr>
      <w:r w:rsidRPr="00BA2535">
        <w:rPr>
          <w:rFonts w:asciiTheme="majorBidi" w:hAnsiTheme="majorBidi" w:cstheme="majorBidi"/>
          <w:sz w:val="24"/>
          <w:szCs w:val="24"/>
        </w:rPr>
        <w:t>This study integrates Technology Acceptance Model (TAM) (Davis, 1989), Technological Pedagogical Content Knowledge (TPACK) (Mishra &amp; Koehler, 2006), and Self-Regulated Learning (SRL) (Zimmerman, 2000) to examine English majors' perceptions of AI-supported EFL translation classes at HUFLIT.</w:t>
      </w:r>
    </w:p>
    <w:p w14:paraId="14B851D5" w14:textId="74D0198C" w:rsidR="00BA2535" w:rsidRPr="00BA2535" w:rsidRDefault="00BA2535" w:rsidP="00AF4612">
      <w:pPr>
        <w:spacing w:before="0" w:after="120" w:line="480" w:lineRule="auto"/>
        <w:rPr>
          <w:rFonts w:asciiTheme="majorBidi" w:hAnsiTheme="majorBidi" w:cstheme="majorBidi"/>
          <w:sz w:val="24"/>
          <w:szCs w:val="24"/>
        </w:rPr>
      </w:pPr>
      <w:r w:rsidRPr="00BA2535">
        <w:rPr>
          <w:rFonts w:asciiTheme="majorBidi" w:hAnsiTheme="majorBidi" w:cstheme="majorBidi"/>
          <w:sz w:val="24"/>
          <w:szCs w:val="24"/>
        </w:rPr>
        <w:t xml:space="preserve">TAM provides the core mechanism: perceived usefulness (learning benefits: error awareness, vocabulary expansion from Sections 2.2.1–2.2.2) and perceived ease of use (faster AI vs. detailed teacher feedback) predict intentions to use AI tools. In EFL contexts, TAM explains technology adoption patterns amid limited </w:t>
      </w:r>
      <w:proofErr w:type="gramStart"/>
      <w:r w:rsidRPr="00BA2535">
        <w:rPr>
          <w:rFonts w:asciiTheme="majorBidi" w:hAnsiTheme="majorBidi" w:cstheme="majorBidi"/>
          <w:sz w:val="24"/>
          <w:szCs w:val="24"/>
        </w:rPr>
        <w:t>exposure, but</w:t>
      </w:r>
      <w:proofErr w:type="gramEnd"/>
      <w:r w:rsidRPr="00BA2535">
        <w:rPr>
          <w:rFonts w:asciiTheme="majorBidi" w:hAnsiTheme="majorBidi" w:cstheme="majorBidi"/>
          <w:sz w:val="24"/>
          <w:szCs w:val="24"/>
        </w:rPr>
        <w:t xml:space="preserve"> overlooks pedagogical integration and self-regulation processes.</w:t>
      </w:r>
      <w:r w:rsidR="000B1F09">
        <w:rPr>
          <w:rFonts w:asciiTheme="majorBidi" w:hAnsiTheme="majorBidi" w:cstheme="majorBidi"/>
          <w:sz w:val="24"/>
          <w:szCs w:val="24"/>
        </w:rPr>
        <w:t xml:space="preserve"> </w:t>
      </w:r>
      <w:r w:rsidR="000B1F09" w:rsidRPr="000B1F09">
        <w:rPr>
          <w:rFonts w:asciiTheme="majorBidi" w:hAnsiTheme="majorBidi" w:cstheme="majorBidi"/>
          <w:sz w:val="24"/>
          <w:szCs w:val="24"/>
        </w:rPr>
        <w:t>In the context of AI-supported translation learning, perceived usefulness may relate to students’ beliefs that AI tools improve translation accuracy, vocabulary selection, or error awareness.</w:t>
      </w:r>
    </w:p>
    <w:p w14:paraId="602AEFF0" w14:textId="459FB1CB" w:rsidR="00BA2535" w:rsidRPr="00BA2535" w:rsidRDefault="00BA2535" w:rsidP="00AF4612">
      <w:pPr>
        <w:spacing w:before="0" w:after="120" w:line="480" w:lineRule="auto"/>
        <w:rPr>
          <w:rFonts w:asciiTheme="majorBidi" w:hAnsiTheme="majorBidi" w:cstheme="majorBidi"/>
          <w:sz w:val="24"/>
          <w:szCs w:val="24"/>
        </w:rPr>
      </w:pPr>
      <w:r w:rsidRPr="00BA2535">
        <w:rPr>
          <w:rFonts w:asciiTheme="majorBidi" w:hAnsiTheme="majorBidi" w:cstheme="majorBidi"/>
          <w:sz w:val="24"/>
          <w:szCs w:val="24"/>
        </w:rPr>
        <w:t>TPACK addresses this by framing AI-supported teaching practices as intersections of:</w:t>
      </w:r>
    </w:p>
    <w:p w14:paraId="42205962" w14:textId="04302247" w:rsidR="00BA2535" w:rsidRPr="00BA2535" w:rsidRDefault="00BA2535" w:rsidP="00AF4612">
      <w:pPr>
        <w:pStyle w:val="ListParagraph"/>
        <w:numPr>
          <w:ilvl w:val="0"/>
          <w:numId w:val="3"/>
        </w:numPr>
        <w:spacing w:before="0" w:after="120" w:line="480" w:lineRule="auto"/>
        <w:ind w:left="1080"/>
        <w:rPr>
          <w:rFonts w:asciiTheme="majorBidi" w:hAnsiTheme="majorBidi" w:cstheme="majorBidi"/>
          <w:sz w:val="24"/>
          <w:szCs w:val="24"/>
        </w:rPr>
      </w:pPr>
      <w:r w:rsidRPr="00BA2535">
        <w:rPr>
          <w:rFonts w:asciiTheme="majorBidi" w:hAnsiTheme="majorBidi" w:cstheme="majorBidi"/>
          <w:sz w:val="24"/>
          <w:szCs w:val="24"/>
        </w:rPr>
        <w:t>Technological Knowledge (TK): ChatGPT/Grammarly for adaptive tasks, grammar analysis</w:t>
      </w:r>
    </w:p>
    <w:p w14:paraId="40A60EAB" w14:textId="29DC5185" w:rsidR="00BA2535" w:rsidRPr="00BA2535" w:rsidRDefault="00BA2535" w:rsidP="00AF4612">
      <w:pPr>
        <w:pStyle w:val="ListParagraph"/>
        <w:numPr>
          <w:ilvl w:val="0"/>
          <w:numId w:val="3"/>
        </w:numPr>
        <w:spacing w:before="0" w:after="120" w:line="480" w:lineRule="auto"/>
        <w:ind w:left="1080"/>
        <w:rPr>
          <w:rFonts w:asciiTheme="majorBidi" w:hAnsiTheme="majorBidi" w:cstheme="majorBidi"/>
          <w:sz w:val="24"/>
          <w:szCs w:val="24"/>
        </w:rPr>
      </w:pPr>
      <w:r w:rsidRPr="00BA2535">
        <w:rPr>
          <w:rFonts w:asciiTheme="majorBidi" w:hAnsiTheme="majorBidi" w:cstheme="majorBidi"/>
          <w:sz w:val="24"/>
          <w:szCs w:val="24"/>
        </w:rPr>
        <w:t>Pedagogical Knowledge (PK): Reduced teacher workload via automated feedback</w:t>
      </w:r>
    </w:p>
    <w:p w14:paraId="7AE42185" w14:textId="760B4829" w:rsidR="00BA2535" w:rsidRDefault="00BA2535" w:rsidP="00AF4612">
      <w:pPr>
        <w:pStyle w:val="ListParagraph"/>
        <w:numPr>
          <w:ilvl w:val="0"/>
          <w:numId w:val="3"/>
        </w:numPr>
        <w:spacing w:before="0" w:after="120" w:line="480" w:lineRule="auto"/>
        <w:ind w:left="1080"/>
        <w:rPr>
          <w:rFonts w:asciiTheme="majorBidi" w:hAnsiTheme="majorBidi" w:cstheme="majorBidi"/>
          <w:sz w:val="24"/>
          <w:szCs w:val="24"/>
        </w:rPr>
      </w:pPr>
      <w:r w:rsidRPr="00BA2535">
        <w:rPr>
          <w:rFonts w:asciiTheme="majorBidi" w:hAnsiTheme="majorBidi" w:cstheme="majorBidi"/>
          <w:sz w:val="24"/>
          <w:szCs w:val="24"/>
        </w:rPr>
        <w:t>Content Knowledge (CK): EFL translation/grammar competencies</w:t>
      </w:r>
    </w:p>
    <w:p w14:paraId="0395FB26" w14:textId="5995903C" w:rsidR="000B1F09" w:rsidRPr="000B1F09" w:rsidRDefault="000B1F09" w:rsidP="000B1F09">
      <w:pPr>
        <w:spacing w:before="0" w:after="120" w:line="480" w:lineRule="auto"/>
        <w:rPr>
          <w:rFonts w:asciiTheme="majorBidi" w:hAnsiTheme="majorBidi" w:cstheme="majorBidi"/>
          <w:sz w:val="24"/>
          <w:szCs w:val="24"/>
        </w:rPr>
      </w:pPr>
      <w:r w:rsidRPr="000B1F09">
        <w:rPr>
          <w:rFonts w:asciiTheme="majorBidi" w:hAnsiTheme="majorBidi" w:cstheme="majorBidi"/>
          <w:sz w:val="24"/>
          <w:szCs w:val="24"/>
        </w:rPr>
        <w:lastRenderedPageBreak/>
        <w:t>Within translation classrooms, TPACK highlights how teachers design tasks that integrate AI tools into pedagogically meaningful activities such as translation comparison, error analysis, and post-editing exercises.</w:t>
      </w:r>
    </w:p>
    <w:p w14:paraId="5F5C7C4A" w14:textId="1F145BD1" w:rsidR="00BA2535" w:rsidRPr="00BA2535" w:rsidRDefault="00BA2535" w:rsidP="00AF4612">
      <w:pPr>
        <w:spacing w:before="0" w:after="120" w:line="480" w:lineRule="auto"/>
        <w:rPr>
          <w:rFonts w:asciiTheme="majorBidi" w:hAnsiTheme="majorBidi" w:cstheme="majorBidi"/>
          <w:sz w:val="24"/>
          <w:szCs w:val="24"/>
        </w:rPr>
      </w:pPr>
      <w:r w:rsidRPr="00BA2535">
        <w:rPr>
          <w:rFonts w:asciiTheme="majorBidi" w:hAnsiTheme="majorBidi" w:cstheme="majorBidi"/>
          <w:sz w:val="24"/>
          <w:szCs w:val="24"/>
        </w:rPr>
        <w:t>SRL explains metacognitive outcomes, where AI scaffolds forethought (</w:t>
      </w:r>
      <w:proofErr w:type="gramStart"/>
      <w:r w:rsidRPr="00BA2535">
        <w:rPr>
          <w:rFonts w:asciiTheme="majorBidi" w:hAnsiTheme="majorBidi" w:cstheme="majorBidi"/>
          <w:sz w:val="24"/>
          <w:szCs w:val="24"/>
        </w:rPr>
        <w:t>goal-setting</w:t>
      </w:r>
      <w:proofErr w:type="gramEnd"/>
      <w:r w:rsidRPr="00BA2535">
        <w:rPr>
          <w:rFonts w:asciiTheme="majorBidi" w:hAnsiTheme="majorBidi" w:cstheme="majorBidi"/>
          <w:sz w:val="24"/>
          <w:szCs w:val="24"/>
        </w:rPr>
        <w:t xml:space="preserve">), performance (feedback monitoring), and self-reflection phases. </w:t>
      </w:r>
      <w:proofErr w:type="gramStart"/>
      <w:r w:rsidRPr="00BA2535">
        <w:rPr>
          <w:rFonts w:asciiTheme="majorBidi" w:hAnsiTheme="majorBidi" w:cstheme="majorBidi"/>
          <w:sz w:val="24"/>
          <w:szCs w:val="24"/>
        </w:rPr>
        <w:t>Overreliance however</w:t>
      </w:r>
      <w:proofErr w:type="gramEnd"/>
      <w:r w:rsidRPr="00BA2535">
        <w:rPr>
          <w:rFonts w:asciiTheme="majorBidi" w:hAnsiTheme="majorBidi" w:cstheme="majorBidi"/>
          <w:sz w:val="24"/>
          <w:szCs w:val="24"/>
        </w:rPr>
        <w:t xml:space="preserve"> risks "cognitive offloading" without guidance.</w:t>
      </w:r>
      <w:r w:rsidR="000B1F09">
        <w:rPr>
          <w:rFonts w:asciiTheme="majorBidi" w:hAnsiTheme="majorBidi" w:cstheme="majorBidi"/>
          <w:sz w:val="24"/>
          <w:szCs w:val="24"/>
        </w:rPr>
        <w:t xml:space="preserve"> </w:t>
      </w:r>
      <w:r w:rsidR="000B1F09" w:rsidRPr="000B1F09">
        <w:rPr>
          <w:rFonts w:asciiTheme="majorBidi" w:hAnsiTheme="majorBidi" w:cstheme="majorBidi"/>
          <w:sz w:val="24"/>
          <w:szCs w:val="24"/>
        </w:rPr>
        <w:t>Through these processes, learners may develop metacognitive awareness as they evaluate AI suggestions, revise their translations, and reflect on alternative linguistic choices.</w:t>
      </w:r>
    </w:p>
    <w:p w14:paraId="3989EE9F" w14:textId="7A190DE1" w:rsidR="009C6D0A" w:rsidRPr="009C6D0A" w:rsidRDefault="00BA2535" w:rsidP="00AF4612">
      <w:pPr>
        <w:spacing w:before="0" w:after="120" w:line="480" w:lineRule="auto"/>
        <w:rPr>
          <w:rFonts w:asciiTheme="majorBidi" w:hAnsiTheme="majorBidi" w:cstheme="majorBidi"/>
          <w:sz w:val="24"/>
          <w:szCs w:val="24"/>
        </w:rPr>
      </w:pPr>
      <w:r w:rsidRPr="00BA2535">
        <w:rPr>
          <w:rFonts w:asciiTheme="majorBidi" w:hAnsiTheme="majorBidi" w:cstheme="majorBidi"/>
          <w:sz w:val="24"/>
          <w:szCs w:val="24"/>
        </w:rPr>
        <w:t>Integration: TAM captures perceptions → TPACK structures teaching → SRL drives learning outcomes. HUFLIT moderators (curriculum/assessments, AI policies/literacy, tool access) contextualize this in Vietnam EFL.</w:t>
      </w:r>
    </w:p>
    <w:p w14:paraId="047555DB" w14:textId="7D7425ED" w:rsidR="00EA0ACF" w:rsidRDefault="00EA0ACF" w:rsidP="00EA0ACF">
      <w:pPr>
        <w:pStyle w:val="Caption"/>
        <w:keepNext/>
        <w:spacing w:after="120" w:line="480" w:lineRule="auto"/>
        <w:ind w:firstLine="0"/>
        <w:jc w:val="left"/>
      </w:pPr>
      <w:r w:rsidRPr="00EA0ACF">
        <w:rPr>
          <w:b/>
          <w:bCs/>
          <w:i w:val="0"/>
          <w:iCs w:val="0"/>
          <w:color w:val="000000" w:themeColor="text1"/>
          <w:sz w:val="24"/>
          <w:szCs w:val="24"/>
        </w:rPr>
        <w:lastRenderedPageBreak/>
        <w:t xml:space="preserve">Figure </w:t>
      </w:r>
      <w:r w:rsidRPr="00EA0ACF">
        <w:rPr>
          <w:b/>
          <w:bCs/>
          <w:i w:val="0"/>
          <w:iCs w:val="0"/>
          <w:color w:val="000000" w:themeColor="text1"/>
          <w:sz w:val="24"/>
          <w:szCs w:val="24"/>
        </w:rPr>
        <w:fldChar w:fldCharType="begin"/>
      </w:r>
      <w:r w:rsidRPr="00EA0ACF">
        <w:rPr>
          <w:b/>
          <w:bCs/>
          <w:i w:val="0"/>
          <w:iCs w:val="0"/>
          <w:color w:val="000000" w:themeColor="text1"/>
          <w:sz w:val="24"/>
          <w:szCs w:val="24"/>
        </w:rPr>
        <w:instrText xml:space="preserve"> SEQ Figure \* ARABIC </w:instrText>
      </w:r>
      <w:r w:rsidRPr="00EA0ACF">
        <w:rPr>
          <w:b/>
          <w:bCs/>
          <w:i w:val="0"/>
          <w:iCs w:val="0"/>
          <w:color w:val="000000" w:themeColor="text1"/>
          <w:sz w:val="24"/>
          <w:szCs w:val="24"/>
        </w:rPr>
        <w:fldChar w:fldCharType="separate"/>
      </w:r>
      <w:r w:rsidRPr="00EA0ACF">
        <w:rPr>
          <w:b/>
          <w:bCs/>
          <w:i w:val="0"/>
          <w:iCs w:val="0"/>
          <w:noProof/>
          <w:color w:val="000000" w:themeColor="text1"/>
          <w:sz w:val="24"/>
          <w:szCs w:val="24"/>
        </w:rPr>
        <w:t>2</w:t>
      </w:r>
      <w:r w:rsidRPr="00EA0ACF">
        <w:rPr>
          <w:b/>
          <w:bCs/>
          <w:i w:val="0"/>
          <w:iCs w:val="0"/>
          <w:color w:val="000000" w:themeColor="text1"/>
          <w:sz w:val="24"/>
          <w:szCs w:val="24"/>
        </w:rPr>
        <w:fldChar w:fldCharType="end"/>
      </w:r>
      <w:r w:rsidRPr="00EA0ACF">
        <w:rPr>
          <w:color w:val="000000" w:themeColor="text1"/>
          <w:sz w:val="24"/>
          <w:szCs w:val="24"/>
        </w:rPr>
        <w:br/>
        <w:t>Integrated TAM–TPACK–SRL Framework for AI-Supported Translation Learning</w:t>
      </w:r>
    </w:p>
    <w:p w14:paraId="6314ECA9" w14:textId="77777777" w:rsidR="00674F92" w:rsidRDefault="001354B2" w:rsidP="00DF4D75">
      <w:pPr>
        <w:spacing w:before="0" w:after="120" w:line="480" w:lineRule="auto"/>
        <w:ind w:firstLine="0"/>
        <w:jc w:val="left"/>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4B80C41A" wp14:editId="21168411">
            <wp:extent cx="4484536" cy="6936049"/>
            <wp:effectExtent l="0" t="0" r="0" b="0"/>
            <wp:docPr id="139681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81802"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8799"/>
                    <a:stretch>
                      <a:fillRect/>
                    </a:stretch>
                  </pic:blipFill>
                  <pic:spPr bwMode="auto">
                    <a:xfrm>
                      <a:off x="0" y="0"/>
                      <a:ext cx="4596849" cy="7109760"/>
                    </a:xfrm>
                    <a:prstGeom prst="rect">
                      <a:avLst/>
                    </a:prstGeom>
                    <a:ln>
                      <a:noFill/>
                    </a:ln>
                    <a:extLst>
                      <a:ext uri="{53640926-AAD7-44D8-BBD7-CCE9431645EC}">
                        <a14:shadowObscured xmlns:a14="http://schemas.microsoft.com/office/drawing/2010/main"/>
                      </a:ext>
                    </a:extLst>
                  </pic:spPr>
                </pic:pic>
              </a:graphicData>
            </a:graphic>
          </wp:inline>
        </w:drawing>
      </w:r>
    </w:p>
    <w:p w14:paraId="015A1F04" w14:textId="64D539BD" w:rsidR="00D47736" w:rsidRPr="00D855C3" w:rsidRDefault="001354B2" w:rsidP="00DF4D75">
      <w:pPr>
        <w:spacing w:before="0" w:after="120" w:line="480" w:lineRule="auto"/>
        <w:ind w:firstLine="0"/>
        <w:jc w:val="left"/>
        <w:rPr>
          <w:rFonts w:asciiTheme="majorBidi" w:hAnsiTheme="majorBidi" w:cstheme="majorBidi"/>
          <w:sz w:val="24"/>
          <w:szCs w:val="24"/>
        </w:rPr>
      </w:pPr>
      <w:r w:rsidRPr="001354B2">
        <w:rPr>
          <w:rFonts w:asciiTheme="majorBidi" w:hAnsiTheme="majorBidi" w:cstheme="majorBidi"/>
          <w:i/>
          <w:iCs/>
          <w:sz w:val="24"/>
          <w:szCs w:val="24"/>
        </w:rPr>
        <w:t>Note.</w:t>
      </w:r>
      <w:r>
        <w:rPr>
          <w:rFonts w:asciiTheme="majorBidi" w:hAnsiTheme="majorBidi" w:cstheme="majorBidi"/>
          <w:sz w:val="24"/>
          <w:szCs w:val="24"/>
        </w:rPr>
        <w:t xml:space="preserve"> </w:t>
      </w:r>
      <w:r w:rsidR="002E0A92" w:rsidRPr="002E0A92">
        <w:rPr>
          <w:rFonts w:asciiTheme="majorBidi" w:hAnsiTheme="majorBidi" w:cstheme="majorBidi"/>
          <w:sz w:val="24"/>
          <w:szCs w:val="24"/>
        </w:rPr>
        <w:t>Figure 2 illustrates this integrated model, positioning student perceptions as the core mechanism linking AI teaching practices to learning outcomes, moderated by the HUFLIT context.</w:t>
      </w:r>
      <w:r w:rsidR="00D47736">
        <w:rPr>
          <w:rFonts w:asciiTheme="majorBidi" w:hAnsiTheme="majorBidi" w:cstheme="majorBidi"/>
          <w:sz w:val="24"/>
          <w:szCs w:val="24"/>
        </w:rPr>
        <w:t xml:space="preserve"> </w:t>
      </w:r>
    </w:p>
    <w:p w14:paraId="41768BCF" w14:textId="77777777" w:rsidR="00722EDE" w:rsidRPr="00E40940" w:rsidRDefault="00722EDE" w:rsidP="00B475BC">
      <w:pPr>
        <w:pStyle w:val="RALs-Heading1"/>
        <w:spacing w:before="0" w:after="120" w:line="480" w:lineRule="auto"/>
        <w:rPr>
          <w:rFonts w:asciiTheme="majorBidi" w:hAnsiTheme="majorBidi" w:cstheme="majorBidi"/>
          <w:sz w:val="24"/>
          <w:szCs w:val="24"/>
        </w:rPr>
      </w:pPr>
      <w:r w:rsidRPr="00E40940">
        <w:rPr>
          <w:rFonts w:asciiTheme="majorBidi" w:hAnsiTheme="majorBidi" w:cstheme="majorBidi"/>
          <w:sz w:val="24"/>
          <w:szCs w:val="24"/>
        </w:rPr>
        <w:lastRenderedPageBreak/>
        <w:t>3. Methodology</w:t>
      </w:r>
    </w:p>
    <w:p w14:paraId="11C1F9D4" w14:textId="77777777" w:rsidR="00B475BC" w:rsidRPr="00B475BC" w:rsidRDefault="00B475BC" w:rsidP="00B475BC">
      <w:pPr>
        <w:spacing w:before="0" w:after="120" w:line="480" w:lineRule="auto"/>
        <w:ind w:firstLine="0"/>
        <w:rPr>
          <w:rFonts w:asciiTheme="majorBidi" w:hAnsiTheme="majorBidi" w:cstheme="majorBidi"/>
          <w:b/>
          <w:bCs/>
          <w:i/>
          <w:iCs/>
          <w:sz w:val="24"/>
          <w:szCs w:val="24"/>
        </w:rPr>
      </w:pPr>
      <w:r w:rsidRPr="00B475BC">
        <w:rPr>
          <w:rFonts w:asciiTheme="majorBidi" w:hAnsiTheme="majorBidi" w:cstheme="majorBidi"/>
          <w:b/>
          <w:bCs/>
          <w:i/>
          <w:iCs/>
          <w:sz w:val="24"/>
          <w:szCs w:val="24"/>
        </w:rPr>
        <w:t>3.1. Research Design</w:t>
      </w:r>
    </w:p>
    <w:p w14:paraId="02E5192E" w14:textId="5BC67A67" w:rsidR="00B475BC" w:rsidRPr="00B475BC" w:rsidRDefault="0055523F" w:rsidP="00B475BC">
      <w:pPr>
        <w:spacing w:before="0" w:after="120" w:line="480" w:lineRule="auto"/>
        <w:rPr>
          <w:rFonts w:asciiTheme="majorBidi" w:hAnsiTheme="majorBidi" w:cstheme="majorBidi"/>
          <w:sz w:val="24"/>
          <w:szCs w:val="24"/>
        </w:rPr>
      </w:pPr>
      <w:r w:rsidRPr="0055523F">
        <w:rPr>
          <w:rFonts w:asciiTheme="majorBidi" w:hAnsiTheme="majorBidi" w:cstheme="majorBidi"/>
          <w:sz w:val="24"/>
          <w:szCs w:val="24"/>
        </w:rPr>
        <w:t>This study adopted a quantitative survey design to investigate HUFLIT English majors' perceptions of AI-supported EFL translation learning. A quantitative approach was appropriate because the study aimed to measure students' perceived benefits and risks of AI, their views of teacher AI integration, and their self-regulated learning behaviours in a systematic and scalable way. The study was guided by an integrated theoretical framework combining the Technology Acceptance Model (TAM), Technological Pedagogical Content Knowledge (TPACK), and Self-Regulated Learning (SRL), which informed both questionnaire construction and the interpretation of results. Within this framework, TAM was used to examine perceived usefulness and perceived ease of use of AI tools, TPACK was used to capture students' perceptions of teachers' AI-supported instructional practices, and SRL was used to explore students' metacognitive engagement when working with AI during translation tasks.</w:t>
      </w:r>
    </w:p>
    <w:p w14:paraId="2A03AC84" w14:textId="77777777" w:rsidR="00B475BC" w:rsidRPr="00B475BC" w:rsidRDefault="00B475BC" w:rsidP="00B475BC">
      <w:pPr>
        <w:spacing w:before="0" w:after="120" w:line="480" w:lineRule="auto"/>
        <w:ind w:firstLine="0"/>
        <w:rPr>
          <w:rFonts w:asciiTheme="majorBidi" w:hAnsiTheme="majorBidi" w:cstheme="majorBidi"/>
          <w:b/>
          <w:bCs/>
          <w:i/>
          <w:iCs/>
          <w:sz w:val="24"/>
          <w:szCs w:val="24"/>
        </w:rPr>
      </w:pPr>
      <w:r w:rsidRPr="00B475BC">
        <w:rPr>
          <w:rFonts w:asciiTheme="majorBidi" w:hAnsiTheme="majorBidi" w:cstheme="majorBidi"/>
          <w:b/>
          <w:bCs/>
          <w:i/>
          <w:iCs/>
          <w:sz w:val="24"/>
          <w:szCs w:val="24"/>
        </w:rPr>
        <w:t>3.2. Participants</w:t>
      </w:r>
    </w:p>
    <w:p w14:paraId="4FEA558C" w14:textId="62493829" w:rsidR="00B475BC" w:rsidRPr="00B475BC" w:rsidRDefault="0055523F" w:rsidP="00B475BC">
      <w:pPr>
        <w:spacing w:before="0" w:after="120" w:line="480" w:lineRule="auto"/>
        <w:rPr>
          <w:rFonts w:asciiTheme="majorBidi" w:hAnsiTheme="majorBidi" w:cstheme="majorBidi"/>
          <w:sz w:val="24"/>
          <w:szCs w:val="24"/>
        </w:rPr>
      </w:pPr>
      <w:r w:rsidRPr="0055523F">
        <w:rPr>
          <w:rFonts w:asciiTheme="majorBidi" w:hAnsiTheme="majorBidi" w:cstheme="majorBidi"/>
          <w:sz w:val="24"/>
          <w:szCs w:val="24"/>
        </w:rPr>
        <w:t>The participants were English majors at HUFLIT who had experience with EFL translation courses. Students from the second, third, and fourth years of the undergraduate programme were targeted because they were more likely to have engaged in translation-related coursework and had prior exposure to AI tools in their learning. This participant group was considered appropriate because they could provide informed and experience-based perceptions of AI-supported translation instruction.</w:t>
      </w:r>
    </w:p>
    <w:p w14:paraId="6BE0C402" w14:textId="77777777" w:rsidR="00B475BC" w:rsidRPr="00B475BC" w:rsidRDefault="00B475BC" w:rsidP="00B475BC">
      <w:pPr>
        <w:spacing w:before="0" w:after="120" w:line="480" w:lineRule="auto"/>
        <w:ind w:firstLine="0"/>
        <w:rPr>
          <w:rFonts w:asciiTheme="majorBidi" w:hAnsiTheme="majorBidi" w:cstheme="majorBidi"/>
          <w:b/>
          <w:bCs/>
          <w:i/>
          <w:iCs/>
          <w:sz w:val="24"/>
          <w:szCs w:val="24"/>
        </w:rPr>
      </w:pPr>
      <w:r w:rsidRPr="00B475BC">
        <w:rPr>
          <w:rFonts w:asciiTheme="majorBidi" w:hAnsiTheme="majorBidi" w:cstheme="majorBidi"/>
          <w:b/>
          <w:bCs/>
          <w:i/>
          <w:iCs/>
          <w:sz w:val="24"/>
          <w:szCs w:val="24"/>
        </w:rPr>
        <w:t>3.3. Research Instrument</w:t>
      </w:r>
    </w:p>
    <w:p w14:paraId="4B4ACC72" w14:textId="77777777" w:rsidR="0055523F" w:rsidRPr="0055523F" w:rsidRDefault="0055523F" w:rsidP="0055523F">
      <w:pPr>
        <w:spacing w:before="0" w:after="120" w:line="480" w:lineRule="auto"/>
        <w:rPr>
          <w:rFonts w:asciiTheme="majorBidi" w:hAnsiTheme="majorBidi" w:cstheme="majorBidi"/>
          <w:sz w:val="24"/>
          <w:szCs w:val="24"/>
        </w:rPr>
      </w:pPr>
      <w:r w:rsidRPr="0055523F">
        <w:rPr>
          <w:rFonts w:asciiTheme="majorBidi" w:hAnsiTheme="majorBidi" w:cstheme="majorBidi"/>
          <w:sz w:val="24"/>
          <w:szCs w:val="24"/>
        </w:rPr>
        <w:t xml:space="preserve">Data were collected using a structured self-report questionnaire developed </w:t>
      </w:r>
      <w:proofErr w:type="gramStart"/>
      <w:r w:rsidRPr="0055523F">
        <w:rPr>
          <w:rFonts w:asciiTheme="majorBidi" w:hAnsiTheme="majorBidi" w:cstheme="majorBidi"/>
          <w:sz w:val="24"/>
          <w:szCs w:val="24"/>
        </w:rPr>
        <w:t>on the basis of</w:t>
      </w:r>
      <w:proofErr w:type="gramEnd"/>
      <w:r w:rsidRPr="0055523F">
        <w:rPr>
          <w:rFonts w:asciiTheme="majorBidi" w:hAnsiTheme="majorBidi" w:cstheme="majorBidi"/>
          <w:sz w:val="24"/>
          <w:szCs w:val="24"/>
        </w:rPr>
        <w:t xml:space="preserve"> the TAM–TPACK–SRL framework and prior AI-in-education studies. The instrument consisted of two main parts.</w:t>
      </w:r>
    </w:p>
    <w:p w14:paraId="0F92105A" w14:textId="77777777" w:rsidR="0055523F" w:rsidRPr="0055523F" w:rsidRDefault="0055523F" w:rsidP="0055523F">
      <w:pPr>
        <w:spacing w:before="0" w:after="120" w:line="480" w:lineRule="auto"/>
        <w:rPr>
          <w:rFonts w:asciiTheme="majorBidi" w:hAnsiTheme="majorBidi" w:cstheme="majorBidi"/>
          <w:sz w:val="24"/>
          <w:szCs w:val="24"/>
        </w:rPr>
      </w:pPr>
      <w:r w:rsidRPr="0055523F">
        <w:rPr>
          <w:rFonts w:asciiTheme="majorBidi" w:hAnsiTheme="majorBidi" w:cstheme="majorBidi"/>
          <w:sz w:val="24"/>
          <w:szCs w:val="24"/>
        </w:rPr>
        <w:lastRenderedPageBreak/>
        <w:t>The first part gathered background information, including gender, year of study, frequency of AI tool use in translation learning, prior use of AI in translation courses, main purposes of AI use (translation, grammar checking, vocabulary, idea generation), and the AI tool used most frequently.</w:t>
      </w:r>
    </w:p>
    <w:p w14:paraId="1C0056B3" w14:textId="7578727F" w:rsidR="00B475BC" w:rsidRPr="00B475BC" w:rsidRDefault="0055523F" w:rsidP="0055523F">
      <w:pPr>
        <w:spacing w:before="0" w:after="120" w:line="480" w:lineRule="auto"/>
        <w:rPr>
          <w:rFonts w:asciiTheme="majorBidi" w:hAnsiTheme="majorBidi" w:cstheme="majorBidi"/>
          <w:sz w:val="24"/>
          <w:szCs w:val="24"/>
        </w:rPr>
      </w:pPr>
      <w:r w:rsidRPr="0055523F">
        <w:rPr>
          <w:rFonts w:asciiTheme="majorBidi" w:hAnsiTheme="majorBidi" w:cstheme="majorBidi"/>
          <w:sz w:val="24"/>
          <w:szCs w:val="24"/>
        </w:rPr>
        <w:t>The second part measured students' perceptions using a five-point Likert scale (1 = strongly disagree, 5 = strongly agree). Items were designed to represent five theoretical constructs: Perceived Usefulness (PU, 4 items), Perceived Ease of Use (PEOU, 4 items), Teacher AI Integration (TAI, 5 items), Self-Regulated Learning (SRL, 6 items), and Concerns and Overdependence (CO, 4 items), yielding a total of 23 Likert-scale items. These items were subsequently examined through reliability analysis and exploratory factor analysis to determine the underlying empirical factor structure of the questionnaire.</w:t>
      </w:r>
    </w:p>
    <w:p w14:paraId="540AC434" w14:textId="77777777" w:rsidR="00B475BC" w:rsidRPr="00F844C8" w:rsidRDefault="00B475BC" w:rsidP="00F844C8">
      <w:pPr>
        <w:spacing w:before="0" w:after="120" w:line="480" w:lineRule="auto"/>
        <w:ind w:firstLine="0"/>
        <w:rPr>
          <w:rFonts w:asciiTheme="majorBidi" w:hAnsiTheme="majorBidi" w:cstheme="majorBidi"/>
          <w:b/>
          <w:bCs/>
          <w:i/>
          <w:iCs/>
          <w:sz w:val="24"/>
          <w:szCs w:val="24"/>
        </w:rPr>
      </w:pPr>
      <w:r w:rsidRPr="00F844C8">
        <w:rPr>
          <w:rFonts w:asciiTheme="majorBidi" w:hAnsiTheme="majorBidi" w:cstheme="majorBidi"/>
          <w:b/>
          <w:bCs/>
          <w:i/>
          <w:iCs/>
          <w:sz w:val="24"/>
          <w:szCs w:val="24"/>
        </w:rPr>
        <w:t>3.4. Data Collection Procedure</w:t>
      </w:r>
    </w:p>
    <w:p w14:paraId="2D816B99" w14:textId="5A75F33D" w:rsidR="00B475BC" w:rsidRPr="00B475BC" w:rsidRDefault="0055523F" w:rsidP="00B475BC">
      <w:pPr>
        <w:spacing w:before="0" w:after="120" w:line="480" w:lineRule="auto"/>
        <w:rPr>
          <w:rFonts w:asciiTheme="majorBidi" w:hAnsiTheme="majorBidi" w:cstheme="majorBidi"/>
          <w:sz w:val="24"/>
          <w:szCs w:val="24"/>
        </w:rPr>
      </w:pPr>
      <w:r w:rsidRPr="0055523F">
        <w:rPr>
          <w:rFonts w:asciiTheme="majorBidi" w:hAnsiTheme="majorBidi" w:cstheme="majorBidi"/>
          <w:sz w:val="24"/>
          <w:szCs w:val="24"/>
        </w:rPr>
        <w:t>The questionnaire was administered to English majors who were currently taking or had recently completed translation courses at HUFLIT. Participation was voluntary, and students were informed about the purpose of the study and assured that their responses would be used solely for academic research. After collection, the responses were screened and prepared for statistical analysis.</w:t>
      </w:r>
    </w:p>
    <w:p w14:paraId="5909994F" w14:textId="77777777" w:rsidR="00B475BC" w:rsidRPr="00F844C8" w:rsidRDefault="00B475BC" w:rsidP="00F844C8">
      <w:pPr>
        <w:spacing w:before="0" w:after="120" w:line="480" w:lineRule="auto"/>
        <w:ind w:firstLine="0"/>
        <w:rPr>
          <w:rFonts w:asciiTheme="majorBidi" w:hAnsiTheme="majorBidi" w:cstheme="majorBidi"/>
          <w:b/>
          <w:bCs/>
          <w:i/>
          <w:iCs/>
          <w:sz w:val="24"/>
          <w:szCs w:val="24"/>
        </w:rPr>
      </w:pPr>
      <w:r w:rsidRPr="00F844C8">
        <w:rPr>
          <w:rFonts w:asciiTheme="majorBidi" w:hAnsiTheme="majorBidi" w:cstheme="majorBidi"/>
          <w:b/>
          <w:bCs/>
          <w:i/>
          <w:iCs/>
          <w:sz w:val="24"/>
          <w:szCs w:val="24"/>
        </w:rPr>
        <w:t>3.5. Data Analysis</w:t>
      </w:r>
    </w:p>
    <w:p w14:paraId="19D0B994" w14:textId="519317EC" w:rsidR="006A0AE2" w:rsidRPr="00E40940" w:rsidRDefault="001348A2" w:rsidP="001348A2">
      <w:pPr>
        <w:spacing w:before="0" w:after="120" w:line="480" w:lineRule="auto"/>
        <w:rPr>
          <w:rFonts w:asciiTheme="majorBidi" w:hAnsiTheme="majorBidi" w:cstheme="majorBidi"/>
          <w:sz w:val="24"/>
          <w:szCs w:val="24"/>
        </w:rPr>
      </w:pPr>
      <w:r w:rsidRPr="001348A2">
        <w:rPr>
          <w:rFonts w:asciiTheme="majorBidi" w:hAnsiTheme="majorBidi" w:cstheme="majorBidi"/>
          <w:sz w:val="24"/>
          <w:szCs w:val="24"/>
        </w:rPr>
        <w:t xml:space="preserve">The data were analysed using SPSS in four stages. First, descriptive statistics (frequencies, percentages, means, and standard deviations) were used to summarise participants' demographic characteristics and AI usage patterns. Second, descriptive statistics were calculated for all Likert-scale items to describe students' perceptions across the five theoretical constructs. Third, reliability analysis using Cronbach's alpha was conducted to assess the internal consistency of each scale. Finally, exploratory factor analysis (EFA) using </w:t>
      </w:r>
      <w:r w:rsidRPr="001348A2">
        <w:rPr>
          <w:rFonts w:asciiTheme="majorBidi" w:hAnsiTheme="majorBidi" w:cstheme="majorBidi"/>
          <w:sz w:val="24"/>
          <w:szCs w:val="24"/>
        </w:rPr>
        <w:lastRenderedPageBreak/>
        <w:t>Principal Component Analysis (PCA) with Varimax rotation was performed to examine the underlying empirical structure of the questionnaire and determine whether the theoretical constructs held empirically in this context.</w:t>
      </w:r>
    </w:p>
    <w:p w14:paraId="1E963C60" w14:textId="4D6943A1" w:rsidR="00AD29B9" w:rsidRDefault="00934FC5" w:rsidP="00EA0ACF">
      <w:pPr>
        <w:pStyle w:val="RALs-Heading1"/>
        <w:spacing w:before="0" w:after="120"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0060356B">
        <w:rPr>
          <w:rFonts w:asciiTheme="majorBidi" w:hAnsiTheme="majorBidi" w:cstheme="majorBidi"/>
          <w:sz w:val="24"/>
          <w:szCs w:val="24"/>
        </w:rPr>
        <w:t xml:space="preserve"> </w:t>
      </w:r>
      <w:r w:rsidR="00722EDE" w:rsidRPr="00E40940">
        <w:rPr>
          <w:rFonts w:asciiTheme="majorBidi" w:hAnsiTheme="majorBidi" w:cstheme="majorBidi"/>
          <w:sz w:val="24"/>
          <w:szCs w:val="24"/>
        </w:rPr>
        <w:t>4. Results</w:t>
      </w:r>
    </w:p>
    <w:p w14:paraId="1CBECAFB" w14:textId="46A02B26" w:rsidR="00EA0ACF" w:rsidRDefault="00EA0ACF" w:rsidP="00EA0ACF">
      <w:pPr>
        <w:spacing w:before="0" w:after="120" w:line="480" w:lineRule="auto"/>
        <w:rPr>
          <w:sz w:val="24"/>
          <w:szCs w:val="24"/>
        </w:rPr>
      </w:pPr>
      <w:r w:rsidRPr="00EA0ACF">
        <w:rPr>
          <w:sz w:val="24"/>
          <w:szCs w:val="24"/>
        </w:rPr>
        <w:t>This chapter presents the findings of the study in four parts: respondents’ demographic profile and AI usage patterns, descriptive statistics of students’ perceptions, reliability analysis, and exploratory factor analysis of the measurement instrument.</w:t>
      </w:r>
    </w:p>
    <w:p w14:paraId="4BDB89AC" w14:textId="77777777" w:rsidR="007560FC" w:rsidRPr="007560FC" w:rsidRDefault="007560FC" w:rsidP="007560FC">
      <w:pPr>
        <w:spacing w:before="0" w:after="120" w:line="480" w:lineRule="auto"/>
        <w:ind w:firstLine="0"/>
        <w:rPr>
          <w:b/>
          <w:bCs/>
          <w:i/>
          <w:iCs/>
          <w:sz w:val="24"/>
          <w:szCs w:val="24"/>
        </w:rPr>
      </w:pPr>
      <w:r w:rsidRPr="007560FC">
        <w:rPr>
          <w:b/>
          <w:bCs/>
          <w:i/>
          <w:iCs/>
          <w:sz w:val="24"/>
          <w:szCs w:val="24"/>
        </w:rPr>
        <w:t>4.1. Reliability Analysis</w:t>
      </w:r>
    </w:p>
    <w:p w14:paraId="403D6313" w14:textId="77777777" w:rsidR="007560FC" w:rsidRPr="007560FC" w:rsidRDefault="007560FC" w:rsidP="007560FC">
      <w:pPr>
        <w:spacing w:before="0" w:after="120" w:line="480" w:lineRule="auto"/>
        <w:rPr>
          <w:sz w:val="24"/>
          <w:szCs w:val="24"/>
        </w:rPr>
      </w:pPr>
      <w:r w:rsidRPr="007560FC">
        <w:rPr>
          <w:sz w:val="24"/>
          <w:szCs w:val="24"/>
        </w:rPr>
        <w:t>The reliability analysis pointed to strong internal consistency across all five initial scales. As shown in Table 1, the Cronbach’s alpha values ranged from 0.884 to 0.923, all of which lie well above the commonly accepted threshold of 0.70. In addition, the corrected item–total correlations ranged from 0.658 to 0.875, and, on this basis, no items had to be removed prior to the subsequent analyses.</w:t>
      </w:r>
    </w:p>
    <w:p w14:paraId="0E0EB6B5" w14:textId="47D93853" w:rsidR="007560FC" w:rsidRPr="007560FC" w:rsidRDefault="007560FC" w:rsidP="007560FC">
      <w:pPr>
        <w:spacing w:before="0" w:after="120" w:line="480" w:lineRule="auto"/>
        <w:ind w:firstLine="0"/>
        <w:jc w:val="left"/>
        <w:rPr>
          <w:i/>
          <w:iCs/>
          <w:sz w:val="24"/>
          <w:szCs w:val="24"/>
        </w:rPr>
      </w:pPr>
      <w:r w:rsidRPr="007560FC">
        <w:rPr>
          <w:b/>
          <w:bCs/>
          <w:sz w:val="24"/>
          <w:szCs w:val="24"/>
        </w:rPr>
        <w:t xml:space="preserve">Table </w:t>
      </w:r>
      <w:r w:rsidRPr="007560FC">
        <w:rPr>
          <w:b/>
          <w:bCs/>
          <w:sz w:val="24"/>
          <w:szCs w:val="24"/>
        </w:rPr>
        <w:fldChar w:fldCharType="begin"/>
      </w:r>
      <w:r w:rsidRPr="007560FC">
        <w:rPr>
          <w:b/>
          <w:bCs/>
          <w:sz w:val="24"/>
          <w:szCs w:val="24"/>
        </w:rPr>
        <w:instrText xml:space="preserve"> SEQ Table \* ARABIC </w:instrText>
      </w:r>
      <w:r w:rsidRPr="007560FC">
        <w:rPr>
          <w:b/>
          <w:bCs/>
          <w:sz w:val="24"/>
          <w:szCs w:val="24"/>
        </w:rPr>
        <w:fldChar w:fldCharType="separate"/>
      </w:r>
      <w:r w:rsidR="00934F68">
        <w:rPr>
          <w:b/>
          <w:bCs/>
          <w:noProof/>
          <w:sz w:val="24"/>
          <w:szCs w:val="24"/>
        </w:rPr>
        <w:t>1</w:t>
      </w:r>
      <w:r w:rsidRPr="007560FC">
        <w:rPr>
          <w:sz w:val="24"/>
          <w:szCs w:val="24"/>
        </w:rPr>
        <w:fldChar w:fldCharType="end"/>
      </w:r>
      <w:r w:rsidRPr="007560FC">
        <w:rPr>
          <w:i/>
          <w:iCs/>
          <w:sz w:val="24"/>
          <w:szCs w:val="24"/>
        </w:rPr>
        <w:br/>
        <w:t>Reliability Analysis Results</w:t>
      </w:r>
    </w:p>
    <w:tbl>
      <w:tblPr>
        <w:tblW w:w="5000" w:type="pct"/>
        <w:tblCellMar>
          <w:top w:w="15" w:type="dxa"/>
          <w:left w:w="15" w:type="dxa"/>
          <w:bottom w:w="15" w:type="dxa"/>
          <w:right w:w="15" w:type="dxa"/>
        </w:tblCellMar>
        <w:tblLook w:val="04A0" w:firstRow="1" w:lastRow="0" w:firstColumn="1" w:lastColumn="0" w:noHBand="0" w:noVBand="1"/>
      </w:tblPr>
      <w:tblGrid>
        <w:gridCol w:w="4014"/>
        <w:gridCol w:w="904"/>
        <w:gridCol w:w="2268"/>
        <w:gridCol w:w="1840"/>
      </w:tblGrid>
      <w:tr w:rsidR="007560FC" w:rsidRPr="007560FC" w14:paraId="2FD5D8B8" w14:textId="77777777" w:rsidTr="00E1296B">
        <w:trPr>
          <w:tblHeader/>
        </w:trPr>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6583F952" w14:textId="77777777" w:rsidR="007560FC" w:rsidRPr="007560FC" w:rsidRDefault="007560FC" w:rsidP="007560FC">
            <w:pPr>
              <w:pStyle w:val="RALs-Normal"/>
              <w:spacing w:line="320" w:lineRule="atLeast"/>
              <w:ind w:firstLine="0"/>
              <w:rPr>
                <w:b/>
                <w:bCs/>
                <w:szCs w:val="20"/>
              </w:rPr>
            </w:pPr>
            <w:r w:rsidRPr="007560FC">
              <w:rPr>
                <w:b/>
                <w:bCs/>
                <w:szCs w:val="20"/>
              </w:rPr>
              <w:t>Construct</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1300A824" w14:textId="77777777" w:rsidR="007560FC" w:rsidRPr="007560FC" w:rsidRDefault="007560FC" w:rsidP="007560FC">
            <w:pPr>
              <w:pStyle w:val="RALs-Normal"/>
              <w:spacing w:line="320" w:lineRule="atLeast"/>
              <w:ind w:firstLine="0"/>
              <w:rPr>
                <w:b/>
                <w:bCs/>
                <w:szCs w:val="20"/>
              </w:rPr>
            </w:pPr>
            <w:r w:rsidRPr="007560FC">
              <w:rPr>
                <w:b/>
                <w:bCs/>
                <w:szCs w:val="20"/>
              </w:rPr>
              <w:t>Items</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1B3F2F64" w14:textId="77777777" w:rsidR="007560FC" w:rsidRPr="007560FC" w:rsidRDefault="007560FC" w:rsidP="007560FC">
            <w:pPr>
              <w:pStyle w:val="RALs-Normal"/>
              <w:spacing w:line="320" w:lineRule="atLeast"/>
              <w:ind w:firstLine="0"/>
              <w:rPr>
                <w:b/>
                <w:bCs/>
                <w:szCs w:val="20"/>
              </w:rPr>
            </w:pPr>
            <w:r w:rsidRPr="007560FC">
              <w:rPr>
                <w:b/>
                <w:bCs/>
                <w:szCs w:val="20"/>
              </w:rPr>
              <w:t>Cronbach's Alpha</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6209DFA6" w14:textId="77777777" w:rsidR="007560FC" w:rsidRPr="007560FC" w:rsidRDefault="007560FC" w:rsidP="007560FC">
            <w:pPr>
              <w:pStyle w:val="RALs-Normal"/>
              <w:spacing w:line="320" w:lineRule="atLeast"/>
              <w:ind w:firstLine="0"/>
              <w:rPr>
                <w:b/>
                <w:bCs/>
                <w:szCs w:val="20"/>
              </w:rPr>
            </w:pPr>
            <w:r w:rsidRPr="007560FC">
              <w:rPr>
                <w:b/>
                <w:bCs/>
                <w:szCs w:val="20"/>
              </w:rPr>
              <w:t>Interpretation</w:t>
            </w:r>
          </w:p>
        </w:tc>
      </w:tr>
      <w:tr w:rsidR="007560FC" w:rsidRPr="00934F68" w14:paraId="244969D5" w14:textId="77777777" w:rsidTr="00E1296B">
        <w:tc>
          <w:tcPr>
            <w:tcW w:w="0" w:type="auto"/>
            <w:tcBorders>
              <w:top w:val="single" w:sz="4" w:space="0" w:color="auto"/>
            </w:tcBorders>
            <w:tcMar>
              <w:top w:w="120" w:type="dxa"/>
              <w:left w:w="120" w:type="dxa"/>
              <w:bottom w:w="120" w:type="dxa"/>
              <w:right w:w="120" w:type="dxa"/>
            </w:tcMar>
            <w:vAlign w:val="center"/>
            <w:hideMark/>
          </w:tcPr>
          <w:p w14:paraId="39E7D686" w14:textId="77777777" w:rsidR="007560FC" w:rsidRPr="00934F68" w:rsidRDefault="007560FC" w:rsidP="007560FC">
            <w:pPr>
              <w:pStyle w:val="RALs-Normal"/>
              <w:spacing w:line="320" w:lineRule="atLeast"/>
              <w:ind w:firstLine="0"/>
              <w:rPr>
                <w:szCs w:val="20"/>
              </w:rPr>
            </w:pPr>
            <w:r w:rsidRPr="00934F68">
              <w:rPr>
                <w:szCs w:val="20"/>
              </w:rPr>
              <w:t>Perceived Usefulness (PU)</w:t>
            </w:r>
          </w:p>
        </w:tc>
        <w:tc>
          <w:tcPr>
            <w:tcW w:w="0" w:type="auto"/>
            <w:tcBorders>
              <w:top w:val="single" w:sz="4" w:space="0" w:color="auto"/>
            </w:tcBorders>
            <w:tcMar>
              <w:top w:w="120" w:type="dxa"/>
              <w:left w:w="120" w:type="dxa"/>
              <w:bottom w:w="120" w:type="dxa"/>
              <w:right w:w="120" w:type="dxa"/>
            </w:tcMar>
            <w:vAlign w:val="center"/>
            <w:hideMark/>
          </w:tcPr>
          <w:p w14:paraId="0E1D97B1" w14:textId="77777777" w:rsidR="007560FC" w:rsidRPr="00934F68" w:rsidRDefault="007560FC" w:rsidP="007560FC">
            <w:pPr>
              <w:pStyle w:val="RALs-Normal"/>
              <w:spacing w:line="320" w:lineRule="atLeast"/>
              <w:ind w:firstLine="0"/>
              <w:rPr>
                <w:szCs w:val="20"/>
              </w:rPr>
            </w:pPr>
            <w:r w:rsidRPr="00934F68">
              <w:rPr>
                <w:szCs w:val="20"/>
              </w:rPr>
              <w:t>4</w:t>
            </w:r>
          </w:p>
        </w:tc>
        <w:tc>
          <w:tcPr>
            <w:tcW w:w="0" w:type="auto"/>
            <w:tcBorders>
              <w:top w:val="single" w:sz="4" w:space="0" w:color="auto"/>
            </w:tcBorders>
            <w:tcMar>
              <w:top w:w="120" w:type="dxa"/>
              <w:left w:w="120" w:type="dxa"/>
              <w:bottom w:w="120" w:type="dxa"/>
              <w:right w:w="120" w:type="dxa"/>
            </w:tcMar>
            <w:vAlign w:val="center"/>
            <w:hideMark/>
          </w:tcPr>
          <w:p w14:paraId="20511FF1" w14:textId="77777777" w:rsidR="007560FC" w:rsidRPr="00934F68" w:rsidRDefault="007560FC" w:rsidP="007560FC">
            <w:pPr>
              <w:pStyle w:val="RALs-Normal"/>
              <w:spacing w:line="320" w:lineRule="atLeast"/>
              <w:ind w:firstLine="0"/>
              <w:rPr>
                <w:szCs w:val="20"/>
              </w:rPr>
            </w:pPr>
            <w:r w:rsidRPr="00934F68">
              <w:rPr>
                <w:szCs w:val="20"/>
              </w:rPr>
              <w:t>0.884</w:t>
            </w:r>
          </w:p>
        </w:tc>
        <w:tc>
          <w:tcPr>
            <w:tcW w:w="0" w:type="auto"/>
            <w:tcBorders>
              <w:top w:val="single" w:sz="4" w:space="0" w:color="auto"/>
            </w:tcBorders>
            <w:tcMar>
              <w:top w:w="120" w:type="dxa"/>
              <w:left w:w="120" w:type="dxa"/>
              <w:bottom w:w="120" w:type="dxa"/>
              <w:right w:w="120" w:type="dxa"/>
            </w:tcMar>
            <w:vAlign w:val="center"/>
            <w:hideMark/>
          </w:tcPr>
          <w:p w14:paraId="634334B2" w14:textId="77777777" w:rsidR="007560FC" w:rsidRPr="00934F68" w:rsidRDefault="007560FC" w:rsidP="007560FC">
            <w:pPr>
              <w:pStyle w:val="RALs-Normal"/>
              <w:spacing w:line="320" w:lineRule="atLeast"/>
              <w:ind w:firstLine="0"/>
              <w:rPr>
                <w:szCs w:val="20"/>
              </w:rPr>
            </w:pPr>
            <w:r w:rsidRPr="00934F68">
              <w:rPr>
                <w:szCs w:val="20"/>
              </w:rPr>
              <w:t>Good</w:t>
            </w:r>
          </w:p>
        </w:tc>
      </w:tr>
      <w:tr w:rsidR="007560FC" w:rsidRPr="00934F68" w14:paraId="789FF045" w14:textId="77777777" w:rsidTr="00E1296B">
        <w:tc>
          <w:tcPr>
            <w:tcW w:w="0" w:type="auto"/>
            <w:tcMar>
              <w:top w:w="120" w:type="dxa"/>
              <w:left w:w="120" w:type="dxa"/>
              <w:bottom w:w="120" w:type="dxa"/>
              <w:right w:w="120" w:type="dxa"/>
            </w:tcMar>
            <w:vAlign w:val="center"/>
            <w:hideMark/>
          </w:tcPr>
          <w:p w14:paraId="2F6DC9B3" w14:textId="77777777" w:rsidR="007560FC" w:rsidRPr="00934F68" w:rsidRDefault="007560FC" w:rsidP="007560FC">
            <w:pPr>
              <w:pStyle w:val="RALs-Normal"/>
              <w:spacing w:line="320" w:lineRule="atLeast"/>
              <w:ind w:firstLine="0"/>
              <w:rPr>
                <w:szCs w:val="20"/>
              </w:rPr>
            </w:pPr>
            <w:r w:rsidRPr="00934F68">
              <w:rPr>
                <w:szCs w:val="20"/>
              </w:rPr>
              <w:t>Perceived Ease of Use (PEOU)</w:t>
            </w:r>
          </w:p>
        </w:tc>
        <w:tc>
          <w:tcPr>
            <w:tcW w:w="0" w:type="auto"/>
            <w:tcMar>
              <w:top w:w="120" w:type="dxa"/>
              <w:left w:w="120" w:type="dxa"/>
              <w:bottom w:w="120" w:type="dxa"/>
              <w:right w:w="120" w:type="dxa"/>
            </w:tcMar>
            <w:vAlign w:val="center"/>
            <w:hideMark/>
          </w:tcPr>
          <w:p w14:paraId="21DFB025" w14:textId="77777777" w:rsidR="007560FC" w:rsidRPr="00934F68" w:rsidRDefault="007560FC" w:rsidP="007560FC">
            <w:pPr>
              <w:pStyle w:val="RALs-Normal"/>
              <w:spacing w:line="320" w:lineRule="atLeast"/>
              <w:ind w:firstLine="0"/>
              <w:rPr>
                <w:szCs w:val="20"/>
              </w:rPr>
            </w:pPr>
            <w:r w:rsidRPr="00934F68">
              <w:rPr>
                <w:szCs w:val="20"/>
              </w:rPr>
              <w:t>4</w:t>
            </w:r>
          </w:p>
        </w:tc>
        <w:tc>
          <w:tcPr>
            <w:tcW w:w="0" w:type="auto"/>
            <w:tcMar>
              <w:top w:w="120" w:type="dxa"/>
              <w:left w:w="120" w:type="dxa"/>
              <w:bottom w:w="120" w:type="dxa"/>
              <w:right w:w="120" w:type="dxa"/>
            </w:tcMar>
            <w:vAlign w:val="center"/>
            <w:hideMark/>
          </w:tcPr>
          <w:p w14:paraId="1D75464C" w14:textId="77777777" w:rsidR="007560FC" w:rsidRPr="00934F68" w:rsidRDefault="007560FC" w:rsidP="007560FC">
            <w:pPr>
              <w:pStyle w:val="RALs-Normal"/>
              <w:spacing w:line="320" w:lineRule="atLeast"/>
              <w:ind w:firstLine="0"/>
              <w:rPr>
                <w:szCs w:val="20"/>
              </w:rPr>
            </w:pPr>
            <w:r w:rsidRPr="00934F68">
              <w:rPr>
                <w:szCs w:val="20"/>
              </w:rPr>
              <w:t>0.895</w:t>
            </w:r>
          </w:p>
        </w:tc>
        <w:tc>
          <w:tcPr>
            <w:tcW w:w="0" w:type="auto"/>
            <w:tcMar>
              <w:top w:w="120" w:type="dxa"/>
              <w:left w:w="120" w:type="dxa"/>
              <w:bottom w:w="120" w:type="dxa"/>
              <w:right w:w="120" w:type="dxa"/>
            </w:tcMar>
            <w:vAlign w:val="center"/>
            <w:hideMark/>
          </w:tcPr>
          <w:p w14:paraId="371696B2" w14:textId="77777777" w:rsidR="007560FC" w:rsidRPr="00934F68" w:rsidRDefault="007560FC" w:rsidP="007560FC">
            <w:pPr>
              <w:pStyle w:val="RALs-Normal"/>
              <w:spacing w:line="320" w:lineRule="atLeast"/>
              <w:ind w:firstLine="0"/>
              <w:rPr>
                <w:szCs w:val="20"/>
              </w:rPr>
            </w:pPr>
            <w:r w:rsidRPr="00934F68">
              <w:rPr>
                <w:szCs w:val="20"/>
              </w:rPr>
              <w:t>Good</w:t>
            </w:r>
          </w:p>
        </w:tc>
      </w:tr>
      <w:tr w:rsidR="007560FC" w:rsidRPr="00934F68" w14:paraId="01A24BC5" w14:textId="77777777" w:rsidTr="00E1296B">
        <w:tc>
          <w:tcPr>
            <w:tcW w:w="0" w:type="auto"/>
            <w:tcMar>
              <w:top w:w="120" w:type="dxa"/>
              <w:left w:w="120" w:type="dxa"/>
              <w:bottom w:w="120" w:type="dxa"/>
              <w:right w:w="120" w:type="dxa"/>
            </w:tcMar>
            <w:vAlign w:val="center"/>
            <w:hideMark/>
          </w:tcPr>
          <w:p w14:paraId="2AD17D74" w14:textId="77777777" w:rsidR="007560FC" w:rsidRPr="00934F68" w:rsidRDefault="007560FC" w:rsidP="007560FC">
            <w:pPr>
              <w:pStyle w:val="RALs-Normal"/>
              <w:spacing w:line="320" w:lineRule="atLeast"/>
              <w:ind w:firstLine="0"/>
              <w:rPr>
                <w:szCs w:val="20"/>
              </w:rPr>
            </w:pPr>
            <w:r w:rsidRPr="00934F68">
              <w:rPr>
                <w:szCs w:val="20"/>
              </w:rPr>
              <w:t>Teacher AI Integration (TAI)</w:t>
            </w:r>
          </w:p>
        </w:tc>
        <w:tc>
          <w:tcPr>
            <w:tcW w:w="0" w:type="auto"/>
            <w:tcMar>
              <w:top w:w="120" w:type="dxa"/>
              <w:left w:w="120" w:type="dxa"/>
              <w:bottom w:w="120" w:type="dxa"/>
              <w:right w:w="120" w:type="dxa"/>
            </w:tcMar>
            <w:vAlign w:val="center"/>
            <w:hideMark/>
          </w:tcPr>
          <w:p w14:paraId="41C6A4AE" w14:textId="77777777" w:rsidR="007560FC" w:rsidRPr="00934F68" w:rsidRDefault="007560FC" w:rsidP="007560FC">
            <w:pPr>
              <w:pStyle w:val="RALs-Normal"/>
              <w:spacing w:line="320" w:lineRule="atLeast"/>
              <w:ind w:firstLine="0"/>
              <w:rPr>
                <w:szCs w:val="20"/>
              </w:rPr>
            </w:pPr>
            <w:r w:rsidRPr="00934F68">
              <w:rPr>
                <w:szCs w:val="20"/>
              </w:rPr>
              <w:t>5</w:t>
            </w:r>
          </w:p>
        </w:tc>
        <w:tc>
          <w:tcPr>
            <w:tcW w:w="0" w:type="auto"/>
            <w:tcMar>
              <w:top w:w="120" w:type="dxa"/>
              <w:left w:w="120" w:type="dxa"/>
              <w:bottom w:w="120" w:type="dxa"/>
              <w:right w:w="120" w:type="dxa"/>
            </w:tcMar>
            <w:vAlign w:val="center"/>
            <w:hideMark/>
          </w:tcPr>
          <w:p w14:paraId="7CA8835F" w14:textId="77777777" w:rsidR="007560FC" w:rsidRPr="00934F68" w:rsidRDefault="007560FC" w:rsidP="007560FC">
            <w:pPr>
              <w:pStyle w:val="RALs-Normal"/>
              <w:spacing w:line="320" w:lineRule="atLeast"/>
              <w:ind w:firstLine="0"/>
              <w:rPr>
                <w:szCs w:val="20"/>
              </w:rPr>
            </w:pPr>
            <w:r w:rsidRPr="00934F68">
              <w:rPr>
                <w:szCs w:val="20"/>
              </w:rPr>
              <w:t>0.917</w:t>
            </w:r>
          </w:p>
        </w:tc>
        <w:tc>
          <w:tcPr>
            <w:tcW w:w="0" w:type="auto"/>
            <w:tcMar>
              <w:top w:w="120" w:type="dxa"/>
              <w:left w:w="120" w:type="dxa"/>
              <w:bottom w:w="120" w:type="dxa"/>
              <w:right w:w="120" w:type="dxa"/>
            </w:tcMar>
            <w:vAlign w:val="center"/>
            <w:hideMark/>
          </w:tcPr>
          <w:p w14:paraId="67C4BD62" w14:textId="77777777" w:rsidR="007560FC" w:rsidRPr="00934F68" w:rsidRDefault="007560FC" w:rsidP="007560FC">
            <w:pPr>
              <w:pStyle w:val="RALs-Normal"/>
              <w:spacing w:line="320" w:lineRule="atLeast"/>
              <w:ind w:firstLine="0"/>
              <w:rPr>
                <w:szCs w:val="20"/>
              </w:rPr>
            </w:pPr>
            <w:r w:rsidRPr="00934F68">
              <w:rPr>
                <w:szCs w:val="20"/>
              </w:rPr>
              <w:t>Excellent</w:t>
            </w:r>
          </w:p>
        </w:tc>
      </w:tr>
      <w:tr w:rsidR="007560FC" w:rsidRPr="00934F68" w14:paraId="76774343" w14:textId="77777777" w:rsidTr="00E1296B">
        <w:tc>
          <w:tcPr>
            <w:tcW w:w="0" w:type="auto"/>
            <w:tcMar>
              <w:top w:w="120" w:type="dxa"/>
              <w:left w:w="120" w:type="dxa"/>
              <w:bottom w:w="120" w:type="dxa"/>
              <w:right w:w="120" w:type="dxa"/>
            </w:tcMar>
            <w:vAlign w:val="center"/>
            <w:hideMark/>
          </w:tcPr>
          <w:p w14:paraId="4A417F03" w14:textId="77777777" w:rsidR="007560FC" w:rsidRPr="00934F68" w:rsidRDefault="007560FC" w:rsidP="007560FC">
            <w:pPr>
              <w:pStyle w:val="RALs-Normal"/>
              <w:spacing w:line="320" w:lineRule="atLeast"/>
              <w:ind w:firstLine="0"/>
              <w:rPr>
                <w:szCs w:val="20"/>
              </w:rPr>
            </w:pPr>
            <w:r w:rsidRPr="00934F68">
              <w:rPr>
                <w:szCs w:val="20"/>
              </w:rPr>
              <w:t>Self-Regulated Learning (SRL)</w:t>
            </w:r>
          </w:p>
        </w:tc>
        <w:tc>
          <w:tcPr>
            <w:tcW w:w="0" w:type="auto"/>
            <w:tcMar>
              <w:top w:w="120" w:type="dxa"/>
              <w:left w:w="120" w:type="dxa"/>
              <w:bottom w:w="120" w:type="dxa"/>
              <w:right w:w="120" w:type="dxa"/>
            </w:tcMar>
            <w:vAlign w:val="center"/>
            <w:hideMark/>
          </w:tcPr>
          <w:p w14:paraId="4DB263A4" w14:textId="77777777" w:rsidR="007560FC" w:rsidRPr="00934F68" w:rsidRDefault="007560FC" w:rsidP="007560FC">
            <w:pPr>
              <w:pStyle w:val="RALs-Normal"/>
              <w:spacing w:line="320" w:lineRule="atLeast"/>
              <w:ind w:firstLine="0"/>
              <w:rPr>
                <w:szCs w:val="20"/>
              </w:rPr>
            </w:pPr>
            <w:r w:rsidRPr="00934F68">
              <w:rPr>
                <w:szCs w:val="20"/>
              </w:rPr>
              <w:t>6</w:t>
            </w:r>
          </w:p>
        </w:tc>
        <w:tc>
          <w:tcPr>
            <w:tcW w:w="0" w:type="auto"/>
            <w:tcMar>
              <w:top w:w="120" w:type="dxa"/>
              <w:left w:w="120" w:type="dxa"/>
              <w:bottom w:w="120" w:type="dxa"/>
              <w:right w:w="120" w:type="dxa"/>
            </w:tcMar>
            <w:vAlign w:val="center"/>
            <w:hideMark/>
          </w:tcPr>
          <w:p w14:paraId="4FA56FCE" w14:textId="77777777" w:rsidR="007560FC" w:rsidRPr="00934F68" w:rsidRDefault="007560FC" w:rsidP="007560FC">
            <w:pPr>
              <w:pStyle w:val="RALs-Normal"/>
              <w:spacing w:line="320" w:lineRule="atLeast"/>
              <w:ind w:firstLine="0"/>
              <w:rPr>
                <w:szCs w:val="20"/>
              </w:rPr>
            </w:pPr>
            <w:r w:rsidRPr="00934F68">
              <w:rPr>
                <w:szCs w:val="20"/>
              </w:rPr>
              <w:t>0.923</w:t>
            </w:r>
          </w:p>
        </w:tc>
        <w:tc>
          <w:tcPr>
            <w:tcW w:w="0" w:type="auto"/>
            <w:tcMar>
              <w:top w:w="120" w:type="dxa"/>
              <w:left w:w="120" w:type="dxa"/>
              <w:bottom w:w="120" w:type="dxa"/>
              <w:right w:w="120" w:type="dxa"/>
            </w:tcMar>
            <w:vAlign w:val="center"/>
            <w:hideMark/>
          </w:tcPr>
          <w:p w14:paraId="18BF1AE3" w14:textId="77777777" w:rsidR="007560FC" w:rsidRPr="00934F68" w:rsidRDefault="007560FC" w:rsidP="007560FC">
            <w:pPr>
              <w:pStyle w:val="RALs-Normal"/>
              <w:spacing w:line="320" w:lineRule="atLeast"/>
              <w:ind w:firstLine="0"/>
              <w:rPr>
                <w:szCs w:val="20"/>
              </w:rPr>
            </w:pPr>
            <w:r w:rsidRPr="00934F68">
              <w:rPr>
                <w:szCs w:val="20"/>
              </w:rPr>
              <w:t>Excellent</w:t>
            </w:r>
          </w:p>
        </w:tc>
      </w:tr>
      <w:tr w:rsidR="007560FC" w:rsidRPr="00934F68" w14:paraId="5652DB4F" w14:textId="77777777" w:rsidTr="00E1296B">
        <w:tc>
          <w:tcPr>
            <w:tcW w:w="0" w:type="auto"/>
            <w:tcBorders>
              <w:bottom w:val="single" w:sz="4" w:space="0" w:color="auto"/>
            </w:tcBorders>
            <w:tcMar>
              <w:top w:w="120" w:type="dxa"/>
              <w:left w:w="120" w:type="dxa"/>
              <w:bottom w:w="120" w:type="dxa"/>
              <w:right w:w="120" w:type="dxa"/>
            </w:tcMar>
            <w:vAlign w:val="center"/>
            <w:hideMark/>
          </w:tcPr>
          <w:p w14:paraId="585C6882" w14:textId="77777777" w:rsidR="007560FC" w:rsidRPr="00934F68" w:rsidRDefault="007560FC" w:rsidP="007560FC">
            <w:pPr>
              <w:pStyle w:val="RALs-Normal"/>
              <w:spacing w:line="320" w:lineRule="atLeast"/>
              <w:ind w:firstLine="0"/>
              <w:rPr>
                <w:szCs w:val="20"/>
              </w:rPr>
            </w:pPr>
            <w:r w:rsidRPr="00934F68">
              <w:rPr>
                <w:szCs w:val="20"/>
              </w:rPr>
              <w:t>Concerns and Overdependence (CO)</w:t>
            </w:r>
          </w:p>
        </w:tc>
        <w:tc>
          <w:tcPr>
            <w:tcW w:w="0" w:type="auto"/>
            <w:tcBorders>
              <w:bottom w:val="single" w:sz="4" w:space="0" w:color="auto"/>
            </w:tcBorders>
            <w:tcMar>
              <w:top w:w="120" w:type="dxa"/>
              <w:left w:w="120" w:type="dxa"/>
              <w:bottom w:w="120" w:type="dxa"/>
              <w:right w:w="120" w:type="dxa"/>
            </w:tcMar>
            <w:vAlign w:val="center"/>
            <w:hideMark/>
          </w:tcPr>
          <w:p w14:paraId="6C223723" w14:textId="77777777" w:rsidR="007560FC" w:rsidRPr="00934F68" w:rsidRDefault="007560FC" w:rsidP="007560FC">
            <w:pPr>
              <w:pStyle w:val="RALs-Normal"/>
              <w:spacing w:line="320" w:lineRule="atLeast"/>
              <w:ind w:firstLine="0"/>
              <w:rPr>
                <w:szCs w:val="20"/>
              </w:rPr>
            </w:pPr>
            <w:r w:rsidRPr="00934F68">
              <w:rPr>
                <w:szCs w:val="20"/>
              </w:rPr>
              <w:t>4</w:t>
            </w:r>
          </w:p>
        </w:tc>
        <w:tc>
          <w:tcPr>
            <w:tcW w:w="0" w:type="auto"/>
            <w:tcBorders>
              <w:bottom w:val="single" w:sz="4" w:space="0" w:color="auto"/>
            </w:tcBorders>
            <w:tcMar>
              <w:top w:w="120" w:type="dxa"/>
              <w:left w:w="120" w:type="dxa"/>
              <w:bottom w:w="120" w:type="dxa"/>
              <w:right w:w="120" w:type="dxa"/>
            </w:tcMar>
            <w:vAlign w:val="center"/>
            <w:hideMark/>
          </w:tcPr>
          <w:p w14:paraId="77AA39D7" w14:textId="77777777" w:rsidR="007560FC" w:rsidRPr="00934F68" w:rsidRDefault="007560FC" w:rsidP="007560FC">
            <w:pPr>
              <w:pStyle w:val="RALs-Normal"/>
              <w:spacing w:line="320" w:lineRule="atLeast"/>
              <w:ind w:firstLine="0"/>
              <w:rPr>
                <w:szCs w:val="20"/>
              </w:rPr>
            </w:pPr>
            <w:r w:rsidRPr="00934F68">
              <w:rPr>
                <w:szCs w:val="20"/>
              </w:rPr>
              <w:t>0.885</w:t>
            </w:r>
          </w:p>
        </w:tc>
        <w:tc>
          <w:tcPr>
            <w:tcW w:w="0" w:type="auto"/>
            <w:tcBorders>
              <w:bottom w:val="single" w:sz="4" w:space="0" w:color="auto"/>
            </w:tcBorders>
            <w:tcMar>
              <w:top w:w="120" w:type="dxa"/>
              <w:left w:w="120" w:type="dxa"/>
              <w:bottom w:w="120" w:type="dxa"/>
              <w:right w:w="120" w:type="dxa"/>
            </w:tcMar>
            <w:vAlign w:val="center"/>
            <w:hideMark/>
          </w:tcPr>
          <w:p w14:paraId="5879DE52" w14:textId="77777777" w:rsidR="007560FC" w:rsidRPr="00934F68" w:rsidRDefault="007560FC" w:rsidP="007560FC">
            <w:pPr>
              <w:pStyle w:val="RALs-Normal"/>
              <w:spacing w:line="320" w:lineRule="atLeast"/>
              <w:ind w:firstLine="0"/>
              <w:rPr>
                <w:szCs w:val="20"/>
              </w:rPr>
            </w:pPr>
            <w:r w:rsidRPr="00934F68">
              <w:rPr>
                <w:szCs w:val="20"/>
              </w:rPr>
              <w:t>Good</w:t>
            </w:r>
          </w:p>
        </w:tc>
      </w:tr>
    </w:tbl>
    <w:p w14:paraId="16BF8199" w14:textId="77777777" w:rsidR="007560FC" w:rsidRPr="007560FC" w:rsidRDefault="007560FC" w:rsidP="007560FC">
      <w:pPr>
        <w:pStyle w:val="RALs-Normal"/>
        <w:spacing w:line="320" w:lineRule="atLeast"/>
        <w:ind w:firstLine="0"/>
        <w:rPr>
          <w:b/>
          <w:bCs/>
          <w:szCs w:val="20"/>
        </w:rPr>
      </w:pPr>
    </w:p>
    <w:p w14:paraId="0481272C" w14:textId="15D78665" w:rsidR="00F844C8" w:rsidRPr="00F844C8" w:rsidRDefault="00F844C8" w:rsidP="00EA0ACF">
      <w:pPr>
        <w:pStyle w:val="RALs-Normal"/>
        <w:spacing w:before="0" w:after="120" w:line="480" w:lineRule="auto"/>
        <w:ind w:firstLine="0"/>
        <w:rPr>
          <w:b/>
          <w:bCs/>
          <w:i/>
          <w:iCs/>
          <w:sz w:val="24"/>
          <w:szCs w:val="24"/>
        </w:rPr>
      </w:pPr>
      <w:r w:rsidRPr="00F844C8">
        <w:rPr>
          <w:b/>
          <w:bCs/>
          <w:i/>
          <w:iCs/>
          <w:sz w:val="24"/>
          <w:szCs w:val="24"/>
        </w:rPr>
        <w:lastRenderedPageBreak/>
        <w:t>4.</w:t>
      </w:r>
      <w:r w:rsidR="007560FC">
        <w:rPr>
          <w:b/>
          <w:bCs/>
          <w:i/>
          <w:iCs/>
          <w:sz w:val="24"/>
          <w:szCs w:val="24"/>
        </w:rPr>
        <w:t>2</w:t>
      </w:r>
      <w:r w:rsidRPr="00F844C8">
        <w:rPr>
          <w:b/>
          <w:bCs/>
          <w:i/>
          <w:iCs/>
          <w:sz w:val="24"/>
          <w:szCs w:val="24"/>
        </w:rPr>
        <w:t>. Demographic Profile and AI Usage Patterns</w:t>
      </w:r>
    </w:p>
    <w:p w14:paraId="63E355EB" w14:textId="3A642003" w:rsidR="005047AD" w:rsidRPr="00934F68" w:rsidRDefault="00F844C8" w:rsidP="00934F68">
      <w:pPr>
        <w:pStyle w:val="RALs-Normal"/>
        <w:spacing w:before="0" w:after="120" w:line="480" w:lineRule="auto"/>
        <w:rPr>
          <w:sz w:val="24"/>
          <w:szCs w:val="24"/>
        </w:rPr>
      </w:pPr>
      <w:r w:rsidRPr="00F844C8">
        <w:rPr>
          <w:sz w:val="24"/>
          <w:szCs w:val="24"/>
        </w:rPr>
        <w:t>A total of 219 English majors at HUFLIT completed the questionnaire with no missing responses. The sample was predominantly female (78.5%, n = 172), while male students accounted for 21.5% (n = 47). In terms of academic year, most respondents were second-year students (84.0%, n = 184), followed by third-year students (15.1%, n = 33) and fourth-year students (0.9%, n = 2).</w:t>
      </w:r>
    </w:p>
    <w:p w14:paraId="026F45AF" w14:textId="5D30F642" w:rsidR="00934F68" w:rsidRPr="00934F68" w:rsidRDefault="00934F68" w:rsidP="00934F68">
      <w:pPr>
        <w:pStyle w:val="Caption"/>
        <w:keepNext/>
        <w:ind w:firstLine="0"/>
        <w:jc w:val="left"/>
        <w:rPr>
          <w:color w:val="000000" w:themeColor="text1"/>
          <w:sz w:val="24"/>
          <w:szCs w:val="24"/>
        </w:rPr>
      </w:pPr>
      <w:r w:rsidRPr="00934F68">
        <w:rPr>
          <w:b/>
          <w:bCs/>
          <w:i w:val="0"/>
          <w:iCs w:val="0"/>
          <w:color w:val="000000" w:themeColor="text1"/>
          <w:sz w:val="24"/>
          <w:szCs w:val="24"/>
        </w:rPr>
        <w:t xml:space="preserve">Table </w:t>
      </w:r>
      <w:r w:rsidRPr="00934F68">
        <w:rPr>
          <w:b/>
          <w:bCs/>
          <w:i w:val="0"/>
          <w:iCs w:val="0"/>
          <w:color w:val="000000" w:themeColor="text1"/>
          <w:sz w:val="24"/>
          <w:szCs w:val="24"/>
        </w:rPr>
        <w:fldChar w:fldCharType="begin"/>
      </w:r>
      <w:r w:rsidRPr="00934F68">
        <w:rPr>
          <w:b/>
          <w:bCs/>
          <w:i w:val="0"/>
          <w:iCs w:val="0"/>
          <w:color w:val="000000" w:themeColor="text1"/>
          <w:sz w:val="24"/>
          <w:szCs w:val="24"/>
        </w:rPr>
        <w:instrText xml:space="preserve"> SEQ Table \* ARABIC </w:instrText>
      </w:r>
      <w:r w:rsidRPr="00934F68">
        <w:rPr>
          <w:b/>
          <w:bCs/>
          <w:i w:val="0"/>
          <w:iCs w:val="0"/>
          <w:color w:val="000000" w:themeColor="text1"/>
          <w:sz w:val="24"/>
          <w:szCs w:val="24"/>
        </w:rPr>
        <w:fldChar w:fldCharType="separate"/>
      </w:r>
      <w:r w:rsidRPr="00934F68">
        <w:rPr>
          <w:b/>
          <w:bCs/>
          <w:i w:val="0"/>
          <w:iCs w:val="0"/>
          <w:noProof/>
          <w:color w:val="000000" w:themeColor="text1"/>
          <w:sz w:val="24"/>
          <w:szCs w:val="24"/>
        </w:rPr>
        <w:t>2</w:t>
      </w:r>
      <w:r w:rsidRPr="00934F68">
        <w:rPr>
          <w:b/>
          <w:bCs/>
          <w:i w:val="0"/>
          <w:iCs w:val="0"/>
          <w:color w:val="000000" w:themeColor="text1"/>
          <w:sz w:val="24"/>
          <w:szCs w:val="24"/>
        </w:rPr>
        <w:fldChar w:fldCharType="end"/>
      </w:r>
      <w:r w:rsidRPr="00934F68">
        <w:rPr>
          <w:b/>
          <w:bCs/>
          <w:i w:val="0"/>
          <w:iCs w:val="0"/>
          <w:color w:val="000000" w:themeColor="text1"/>
          <w:sz w:val="24"/>
          <w:szCs w:val="24"/>
        </w:rPr>
        <w:br/>
      </w:r>
      <w:r w:rsidRPr="00934F68">
        <w:rPr>
          <w:color w:val="000000" w:themeColor="text1"/>
          <w:sz w:val="24"/>
          <w:szCs w:val="24"/>
        </w:rPr>
        <w:t>Demographic Profile of Respondents</w:t>
      </w:r>
    </w:p>
    <w:tbl>
      <w:tblPr>
        <w:tblW w:w="5000" w:type="pct"/>
        <w:tblCellMar>
          <w:top w:w="15" w:type="dxa"/>
          <w:left w:w="15" w:type="dxa"/>
          <w:bottom w:w="15" w:type="dxa"/>
          <w:right w:w="15" w:type="dxa"/>
        </w:tblCellMar>
        <w:tblLook w:val="04A0" w:firstRow="1" w:lastRow="0" w:firstColumn="1" w:lastColumn="0" w:noHBand="0" w:noVBand="1"/>
      </w:tblPr>
      <w:tblGrid>
        <w:gridCol w:w="2454"/>
        <w:gridCol w:w="2259"/>
        <w:gridCol w:w="2126"/>
        <w:gridCol w:w="2187"/>
      </w:tblGrid>
      <w:tr w:rsidR="00F844C8" w:rsidRPr="00F844C8" w14:paraId="4B430356" w14:textId="77777777" w:rsidTr="005047AD">
        <w:trPr>
          <w:tblHeader/>
        </w:trPr>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0270BD1F" w14:textId="77777777" w:rsidR="00F844C8" w:rsidRPr="00F844C8" w:rsidRDefault="00F844C8" w:rsidP="00C12CDD">
            <w:pPr>
              <w:pStyle w:val="RALs-Normal"/>
              <w:spacing w:line="320" w:lineRule="atLeast"/>
              <w:ind w:firstLine="0"/>
              <w:rPr>
                <w:b/>
                <w:bCs/>
                <w:szCs w:val="20"/>
              </w:rPr>
            </w:pPr>
            <w:r w:rsidRPr="00F844C8">
              <w:rPr>
                <w:b/>
                <w:bCs/>
                <w:szCs w:val="20"/>
              </w:rPr>
              <w:t>Variable</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3A13F573" w14:textId="77777777" w:rsidR="00F844C8" w:rsidRPr="00F844C8" w:rsidRDefault="00F844C8" w:rsidP="00C12CDD">
            <w:pPr>
              <w:pStyle w:val="RALs-Normal"/>
              <w:spacing w:line="320" w:lineRule="atLeast"/>
              <w:ind w:firstLine="0"/>
              <w:rPr>
                <w:b/>
                <w:bCs/>
                <w:szCs w:val="20"/>
              </w:rPr>
            </w:pPr>
            <w:r w:rsidRPr="00F844C8">
              <w:rPr>
                <w:b/>
                <w:bCs/>
                <w:szCs w:val="20"/>
              </w:rPr>
              <w:t>Category</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2ABC168C" w14:textId="77777777" w:rsidR="00F844C8" w:rsidRPr="00F844C8" w:rsidRDefault="00F844C8" w:rsidP="00C12CDD">
            <w:pPr>
              <w:pStyle w:val="RALs-Normal"/>
              <w:spacing w:line="320" w:lineRule="atLeast"/>
              <w:ind w:firstLine="0"/>
              <w:rPr>
                <w:b/>
                <w:bCs/>
                <w:szCs w:val="20"/>
              </w:rPr>
            </w:pPr>
            <w:r w:rsidRPr="00F844C8">
              <w:rPr>
                <w:b/>
                <w:bCs/>
                <w:szCs w:val="20"/>
              </w:rPr>
              <w:t>Frequency</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0CB9B435" w14:textId="77777777" w:rsidR="00F844C8" w:rsidRPr="00F844C8" w:rsidRDefault="00F844C8" w:rsidP="00C12CDD">
            <w:pPr>
              <w:pStyle w:val="RALs-Normal"/>
              <w:spacing w:line="320" w:lineRule="atLeast"/>
              <w:ind w:firstLine="0"/>
              <w:rPr>
                <w:b/>
                <w:bCs/>
                <w:szCs w:val="20"/>
              </w:rPr>
            </w:pPr>
            <w:r w:rsidRPr="00F844C8">
              <w:rPr>
                <w:b/>
                <w:bCs/>
                <w:szCs w:val="20"/>
              </w:rPr>
              <w:t>Percentage</w:t>
            </w:r>
          </w:p>
        </w:tc>
      </w:tr>
      <w:tr w:rsidR="00F844C8" w:rsidRPr="00F844C8" w14:paraId="522B8CDC" w14:textId="77777777" w:rsidTr="005047AD">
        <w:tc>
          <w:tcPr>
            <w:tcW w:w="0" w:type="auto"/>
            <w:tcBorders>
              <w:top w:val="single" w:sz="4" w:space="0" w:color="auto"/>
            </w:tcBorders>
            <w:tcMar>
              <w:top w:w="120" w:type="dxa"/>
              <w:left w:w="120" w:type="dxa"/>
              <w:bottom w:w="120" w:type="dxa"/>
              <w:right w:w="120" w:type="dxa"/>
            </w:tcMar>
            <w:vAlign w:val="center"/>
            <w:hideMark/>
          </w:tcPr>
          <w:p w14:paraId="64E3C8EA" w14:textId="77777777" w:rsidR="00F844C8" w:rsidRPr="00F844C8" w:rsidRDefault="00F844C8" w:rsidP="00C12CDD">
            <w:pPr>
              <w:pStyle w:val="RALs-Normal"/>
              <w:spacing w:line="320" w:lineRule="atLeast"/>
              <w:ind w:firstLine="0"/>
              <w:rPr>
                <w:szCs w:val="20"/>
              </w:rPr>
            </w:pPr>
            <w:r w:rsidRPr="00F844C8">
              <w:rPr>
                <w:szCs w:val="20"/>
              </w:rPr>
              <w:t>Gender</w:t>
            </w:r>
          </w:p>
        </w:tc>
        <w:tc>
          <w:tcPr>
            <w:tcW w:w="0" w:type="auto"/>
            <w:tcBorders>
              <w:top w:val="single" w:sz="4" w:space="0" w:color="auto"/>
            </w:tcBorders>
            <w:tcMar>
              <w:top w:w="120" w:type="dxa"/>
              <w:left w:w="120" w:type="dxa"/>
              <w:bottom w:w="120" w:type="dxa"/>
              <w:right w:w="120" w:type="dxa"/>
            </w:tcMar>
            <w:vAlign w:val="center"/>
            <w:hideMark/>
          </w:tcPr>
          <w:p w14:paraId="119FAE93" w14:textId="77777777" w:rsidR="00F844C8" w:rsidRPr="00F844C8" w:rsidRDefault="00F844C8" w:rsidP="00C12CDD">
            <w:pPr>
              <w:pStyle w:val="RALs-Normal"/>
              <w:spacing w:line="320" w:lineRule="atLeast"/>
              <w:ind w:firstLine="0"/>
              <w:rPr>
                <w:szCs w:val="20"/>
              </w:rPr>
            </w:pPr>
            <w:r w:rsidRPr="00F844C8">
              <w:rPr>
                <w:szCs w:val="20"/>
              </w:rPr>
              <w:t>Male</w:t>
            </w:r>
          </w:p>
        </w:tc>
        <w:tc>
          <w:tcPr>
            <w:tcW w:w="0" w:type="auto"/>
            <w:tcBorders>
              <w:top w:val="single" w:sz="4" w:space="0" w:color="auto"/>
            </w:tcBorders>
            <w:tcMar>
              <w:top w:w="120" w:type="dxa"/>
              <w:left w:w="120" w:type="dxa"/>
              <w:bottom w:w="120" w:type="dxa"/>
              <w:right w:w="120" w:type="dxa"/>
            </w:tcMar>
            <w:vAlign w:val="center"/>
            <w:hideMark/>
          </w:tcPr>
          <w:p w14:paraId="35F8F0A7" w14:textId="77777777" w:rsidR="00F844C8" w:rsidRPr="00F844C8" w:rsidRDefault="00F844C8" w:rsidP="00C12CDD">
            <w:pPr>
              <w:pStyle w:val="RALs-Normal"/>
              <w:spacing w:line="320" w:lineRule="atLeast"/>
              <w:ind w:firstLine="0"/>
              <w:rPr>
                <w:szCs w:val="20"/>
              </w:rPr>
            </w:pPr>
            <w:r w:rsidRPr="00F844C8">
              <w:rPr>
                <w:szCs w:val="20"/>
              </w:rPr>
              <w:t>47</w:t>
            </w:r>
          </w:p>
        </w:tc>
        <w:tc>
          <w:tcPr>
            <w:tcW w:w="0" w:type="auto"/>
            <w:tcBorders>
              <w:top w:val="single" w:sz="4" w:space="0" w:color="auto"/>
            </w:tcBorders>
            <w:tcMar>
              <w:top w:w="120" w:type="dxa"/>
              <w:left w:w="120" w:type="dxa"/>
              <w:bottom w:w="120" w:type="dxa"/>
              <w:right w:w="120" w:type="dxa"/>
            </w:tcMar>
            <w:vAlign w:val="center"/>
            <w:hideMark/>
          </w:tcPr>
          <w:p w14:paraId="2A3519CD" w14:textId="77777777" w:rsidR="00F844C8" w:rsidRPr="00F844C8" w:rsidRDefault="00F844C8" w:rsidP="00C12CDD">
            <w:pPr>
              <w:pStyle w:val="RALs-Normal"/>
              <w:spacing w:line="320" w:lineRule="atLeast"/>
              <w:ind w:firstLine="0"/>
              <w:rPr>
                <w:szCs w:val="20"/>
              </w:rPr>
            </w:pPr>
            <w:r w:rsidRPr="00F844C8">
              <w:rPr>
                <w:szCs w:val="20"/>
              </w:rPr>
              <w:t>21.5%</w:t>
            </w:r>
          </w:p>
        </w:tc>
      </w:tr>
      <w:tr w:rsidR="00F844C8" w:rsidRPr="00F844C8" w14:paraId="32025818" w14:textId="77777777" w:rsidTr="005047AD">
        <w:tc>
          <w:tcPr>
            <w:tcW w:w="0" w:type="auto"/>
            <w:tcMar>
              <w:top w:w="120" w:type="dxa"/>
              <w:left w:w="120" w:type="dxa"/>
              <w:bottom w:w="120" w:type="dxa"/>
              <w:right w:w="120" w:type="dxa"/>
            </w:tcMar>
            <w:vAlign w:val="center"/>
            <w:hideMark/>
          </w:tcPr>
          <w:p w14:paraId="6BC7C762" w14:textId="77777777" w:rsidR="00F844C8" w:rsidRPr="00F844C8" w:rsidRDefault="00F844C8" w:rsidP="00C12CDD">
            <w:pPr>
              <w:pStyle w:val="RALs-Normal"/>
              <w:spacing w:line="320" w:lineRule="atLeast"/>
              <w:ind w:firstLine="0"/>
              <w:rPr>
                <w:szCs w:val="20"/>
              </w:rPr>
            </w:pPr>
          </w:p>
        </w:tc>
        <w:tc>
          <w:tcPr>
            <w:tcW w:w="0" w:type="auto"/>
            <w:tcMar>
              <w:top w:w="120" w:type="dxa"/>
              <w:left w:w="120" w:type="dxa"/>
              <w:bottom w:w="120" w:type="dxa"/>
              <w:right w:w="120" w:type="dxa"/>
            </w:tcMar>
            <w:vAlign w:val="center"/>
            <w:hideMark/>
          </w:tcPr>
          <w:p w14:paraId="6A38F748" w14:textId="77777777" w:rsidR="00F844C8" w:rsidRPr="00F844C8" w:rsidRDefault="00F844C8" w:rsidP="00C12CDD">
            <w:pPr>
              <w:pStyle w:val="RALs-Normal"/>
              <w:spacing w:line="320" w:lineRule="atLeast"/>
              <w:ind w:firstLine="0"/>
              <w:rPr>
                <w:szCs w:val="20"/>
              </w:rPr>
            </w:pPr>
            <w:r w:rsidRPr="00F844C8">
              <w:rPr>
                <w:szCs w:val="20"/>
              </w:rPr>
              <w:t>Female</w:t>
            </w:r>
          </w:p>
        </w:tc>
        <w:tc>
          <w:tcPr>
            <w:tcW w:w="0" w:type="auto"/>
            <w:tcMar>
              <w:top w:w="120" w:type="dxa"/>
              <w:left w:w="120" w:type="dxa"/>
              <w:bottom w:w="120" w:type="dxa"/>
              <w:right w:w="120" w:type="dxa"/>
            </w:tcMar>
            <w:vAlign w:val="center"/>
            <w:hideMark/>
          </w:tcPr>
          <w:p w14:paraId="26736897" w14:textId="77777777" w:rsidR="00F844C8" w:rsidRPr="00F844C8" w:rsidRDefault="00F844C8" w:rsidP="00C12CDD">
            <w:pPr>
              <w:pStyle w:val="RALs-Normal"/>
              <w:spacing w:line="320" w:lineRule="atLeast"/>
              <w:ind w:firstLine="0"/>
              <w:rPr>
                <w:szCs w:val="20"/>
              </w:rPr>
            </w:pPr>
            <w:r w:rsidRPr="00F844C8">
              <w:rPr>
                <w:szCs w:val="20"/>
              </w:rPr>
              <w:t>172</w:t>
            </w:r>
          </w:p>
        </w:tc>
        <w:tc>
          <w:tcPr>
            <w:tcW w:w="0" w:type="auto"/>
            <w:tcMar>
              <w:top w:w="120" w:type="dxa"/>
              <w:left w:w="120" w:type="dxa"/>
              <w:bottom w:w="120" w:type="dxa"/>
              <w:right w:w="120" w:type="dxa"/>
            </w:tcMar>
            <w:vAlign w:val="center"/>
            <w:hideMark/>
          </w:tcPr>
          <w:p w14:paraId="34801DC2" w14:textId="77777777" w:rsidR="00F844C8" w:rsidRPr="00F844C8" w:rsidRDefault="00F844C8" w:rsidP="00C12CDD">
            <w:pPr>
              <w:pStyle w:val="RALs-Normal"/>
              <w:spacing w:line="320" w:lineRule="atLeast"/>
              <w:ind w:firstLine="0"/>
              <w:rPr>
                <w:szCs w:val="20"/>
              </w:rPr>
            </w:pPr>
            <w:r w:rsidRPr="00F844C8">
              <w:rPr>
                <w:szCs w:val="20"/>
              </w:rPr>
              <w:t>78.5%</w:t>
            </w:r>
          </w:p>
        </w:tc>
      </w:tr>
      <w:tr w:rsidR="00F844C8" w:rsidRPr="00F844C8" w14:paraId="7A0E1F7A" w14:textId="77777777" w:rsidTr="005047AD">
        <w:tc>
          <w:tcPr>
            <w:tcW w:w="0" w:type="auto"/>
            <w:tcMar>
              <w:top w:w="120" w:type="dxa"/>
              <w:left w:w="120" w:type="dxa"/>
              <w:bottom w:w="120" w:type="dxa"/>
              <w:right w:w="120" w:type="dxa"/>
            </w:tcMar>
            <w:vAlign w:val="center"/>
            <w:hideMark/>
          </w:tcPr>
          <w:p w14:paraId="1EFA6889" w14:textId="77777777" w:rsidR="00F844C8" w:rsidRPr="00F844C8" w:rsidRDefault="00F844C8" w:rsidP="00C12CDD">
            <w:pPr>
              <w:pStyle w:val="RALs-Normal"/>
              <w:spacing w:line="320" w:lineRule="atLeast"/>
              <w:ind w:firstLine="0"/>
              <w:rPr>
                <w:szCs w:val="20"/>
              </w:rPr>
            </w:pPr>
            <w:r w:rsidRPr="00F844C8">
              <w:rPr>
                <w:szCs w:val="20"/>
              </w:rPr>
              <w:t>Year of study</w:t>
            </w:r>
          </w:p>
        </w:tc>
        <w:tc>
          <w:tcPr>
            <w:tcW w:w="0" w:type="auto"/>
            <w:tcMar>
              <w:top w:w="120" w:type="dxa"/>
              <w:left w:w="120" w:type="dxa"/>
              <w:bottom w:w="120" w:type="dxa"/>
              <w:right w:w="120" w:type="dxa"/>
            </w:tcMar>
            <w:vAlign w:val="center"/>
            <w:hideMark/>
          </w:tcPr>
          <w:p w14:paraId="0789251E" w14:textId="77777777" w:rsidR="00F844C8" w:rsidRPr="00F844C8" w:rsidRDefault="00F844C8" w:rsidP="00C12CDD">
            <w:pPr>
              <w:pStyle w:val="RALs-Normal"/>
              <w:spacing w:line="320" w:lineRule="atLeast"/>
              <w:ind w:firstLine="0"/>
              <w:rPr>
                <w:szCs w:val="20"/>
              </w:rPr>
            </w:pPr>
            <w:r w:rsidRPr="00F844C8">
              <w:rPr>
                <w:szCs w:val="20"/>
              </w:rPr>
              <w:t>Second year</w:t>
            </w:r>
          </w:p>
        </w:tc>
        <w:tc>
          <w:tcPr>
            <w:tcW w:w="0" w:type="auto"/>
            <w:tcMar>
              <w:top w:w="120" w:type="dxa"/>
              <w:left w:w="120" w:type="dxa"/>
              <w:bottom w:w="120" w:type="dxa"/>
              <w:right w:w="120" w:type="dxa"/>
            </w:tcMar>
            <w:vAlign w:val="center"/>
            <w:hideMark/>
          </w:tcPr>
          <w:p w14:paraId="33619F1B" w14:textId="77777777" w:rsidR="00F844C8" w:rsidRPr="00F844C8" w:rsidRDefault="00F844C8" w:rsidP="00C12CDD">
            <w:pPr>
              <w:pStyle w:val="RALs-Normal"/>
              <w:spacing w:line="320" w:lineRule="atLeast"/>
              <w:ind w:firstLine="0"/>
              <w:rPr>
                <w:szCs w:val="20"/>
              </w:rPr>
            </w:pPr>
            <w:r w:rsidRPr="00F844C8">
              <w:rPr>
                <w:szCs w:val="20"/>
              </w:rPr>
              <w:t>184</w:t>
            </w:r>
          </w:p>
        </w:tc>
        <w:tc>
          <w:tcPr>
            <w:tcW w:w="0" w:type="auto"/>
            <w:tcMar>
              <w:top w:w="120" w:type="dxa"/>
              <w:left w:w="120" w:type="dxa"/>
              <w:bottom w:w="120" w:type="dxa"/>
              <w:right w:w="120" w:type="dxa"/>
            </w:tcMar>
            <w:vAlign w:val="center"/>
            <w:hideMark/>
          </w:tcPr>
          <w:p w14:paraId="432192EB" w14:textId="77777777" w:rsidR="00F844C8" w:rsidRPr="00F844C8" w:rsidRDefault="00F844C8" w:rsidP="00C12CDD">
            <w:pPr>
              <w:pStyle w:val="RALs-Normal"/>
              <w:spacing w:line="320" w:lineRule="atLeast"/>
              <w:ind w:firstLine="0"/>
              <w:rPr>
                <w:szCs w:val="20"/>
              </w:rPr>
            </w:pPr>
            <w:r w:rsidRPr="00F844C8">
              <w:rPr>
                <w:szCs w:val="20"/>
              </w:rPr>
              <w:t>84.0%</w:t>
            </w:r>
          </w:p>
        </w:tc>
      </w:tr>
      <w:tr w:rsidR="00F844C8" w:rsidRPr="00F844C8" w14:paraId="0F31C3B0" w14:textId="77777777" w:rsidTr="005047AD">
        <w:tc>
          <w:tcPr>
            <w:tcW w:w="0" w:type="auto"/>
            <w:tcMar>
              <w:top w:w="120" w:type="dxa"/>
              <w:left w:w="120" w:type="dxa"/>
              <w:bottom w:w="120" w:type="dxa"/>
              <w:right w:w="120" w:type="dxa"/>
            </w:tcMar>
            <w:vAlign w:val="center"/>
            <w:hideMark/>
          </w:tcPr>
          <w:p w14:paraId="0ADA90EC" w14:textId="77777777" w:rsidR="00F844C8" w:rsidRPr="00F844C8" w:rsidRDefault="00F844C8" w:rsidP="00C12CDD">
            <w:pPr>
              <w:pStyle w:val="RALs-Normal"/>
              <w:spacing w:line="320" w:lineRule="atLeast"/>
              <w:ind w:firstLine="0"/>
              <w:rPr>
                <w:szCs w:val="20"/>
              </w:rPr>
            </w:pPr>
          </w:p>
        </w:tc>
        <w:tc>
          <w:tcPr>
            <w:tcW w:w="0" w:type="auto"/>
            <w:tcMar>
              <w:top w:w="120" w:type="dxa"/>
              <w:left w:w="120" w:type="dxa"/>
              <w:bottom w:w="120" w:type="dxa"/>
              <w:right w:w="120" w:type="dxa"/>
            </w:tcMar>
            <w:vAlign w:val="center"/>
            <w:hideMark/>
          </w:tcPr>
          <w:p w14:paraId="7DF65C1D" w14:textId="77777777" w:rsidR="00F844C8" w:rsidRPr="00F844C8" w:rsidRDefault="00F844C8" w:rsidP="00C12CDD">
            <w:pPr>
              <w:pStyle w:val="RALs-Normal"/>
              <w:spacing w:line="320" w:lineRule="atLeast"/>
              <w:ind w:firstLine="0"/>
              <w:rPr>
                <w:szCs w:val="20"/>
              </w:rPr>
            </w:pPr>
            <w:r w:rsidRPr="00F844C8">
              <w:rPr>
                <w:szCs w:val="20"/>
              </w:rPr>
              <w:t>Third year</w:t>
            </w:r>
          </w:p>
        </w:tc>
        <w:tc>
          <w:tcPr>
            <w:tcW w:w="0" w:type="auto"/>
            <w:tcMar>
              <w:top w:w="120" w:type="dxa"/>
              <w:left w:w="120" w:type="dxa"/>
              <w:bottom w:w="120" w:type="dxa"/>
              <w:right w:w="120" w:type="dxa"/>
            </w:tcMar>
            <w:vAlign w:val="center"/>
            <w:hideMark/>
          </w:tcPr>
          <w:p w14:paraId="6F38AF15" w14:textId="77777777" w:rsidR="00F844C8" w:rsidRPr="00F844C8" w:rsidRDefault="00F844C8" w:rsidP="00C12CDD">
            <w:pPr>
              <w:pStyle w:val="RALs-Normal"/>
              <w:spacing w:line="320" w:lineRule="atLeast"/>
              <w:ind w:firstLine="0"/>
              <w:rPr>
                <w:szCs w:val="20"/>
              </w:rPr>
            </w:pPr>
            <w:r w:rsidRPr="00F844C8">
              <w:rPr>
                <w:szCs w:val="20"/>
              </w:rPr>
              <w:t>33</w:t>
            </w:r>
          </w:p>
        </w:tc>
        <w:tc>
          <w:tcPr>
            <w:tcW w:w="0" w:type="auto"/>
            <w:tcMar>
              <w:top w:w="120" w:type="dxa"/>
              <w:left w:w="120" w:type="dxa"/>
              <w:bottom w:w="120" w:type="dxa"/>
              <w:right w:w="120" w:type="dxa"/>
            </w:tcMar>
            <w:vAlign w:val="center"/>
            <w:hideMark/>
          </w:tcPr>
          <w:p w14:paraId="6CA19DDB" w14:textId="77777777" w:rsidR="00F844C8" w:rsidRPr="00F844C8" w:rsidRDefault="00F844C8" w:rsidP="00C12CDD">
            <w:pPr>
              <w:pStyle w:val="RALs-Normal"/>
              <w:spacing w:line="320" w:lineRule="atLeast"/>
              <w:ind w:firstLine="0"/>
              <w:rPr>
                <w:szCs w:val="20"/>
              </w:rPr>
            </w:pPr>
            <w:r w:rsidRPr="00F844C8">
              <w:rPr>
                <w:szCs w:val="20"/>
              </w:rPr>
              <w:t>15.1%</w:t>
            </w:r>
          </w:p>
        </w:tc>
      </w:tr>
      <w:tr w:rsidR="00F844C8" w:rsidRPr="00F844C8" w14:paraId="2DBF8017" w14:textId="77777777" w:rsidTr="005047AD">
        <w:tc>
          <w:tcPr>
            <w:tcW w:w="0" w:type="auto"/>
            <w:tcBorders>
              <w:bottom w:val="single" w:sz="4" w:space="0" w:color="auto"/>
            </w:tcBorders>
            <w:tcMar>
              <w:top w:w="120" w:type="dxa"/>
              <w:left w:w="120" w:type="dxa"/>
              <w:bottom w:w="120" w:type="dxa"/>
              <w:right w:w="120" w:type="dxa"/>
            </w:tcMar>
            <w:vAlign w:val="center"/>
            <w:hideMark/>
          </w:tcPr>
          <w:p w14:paraId="032CE46C" w14:textId="77777777" w:rsidR="00F844C8" w:rsidRPr="00F844C8" w:rsidRDefault="00F844C8" w:rsidP="00C12CDD">
            <w:pPr>
              <w:pStyle w:val="RALs-Normal"/>
              <w:spacing w:line="320" w:lineRule="atLeast"/>
              <w:ind w:firstLine="0"/>
              <w:rPr>
                <w:szCs w:val="20"/>
              </w:rPr>
            </w:pPr>
          </w:p>
        </w:tc>
        <w:tc>
          <w:tcPr>
            <w:tcW w:w="0" w:type="auto"/>
            <w:tcBorders>
              <w:bottom w:val="single" w:sz="4" w:space="0" w:color="auto"/>
            </w:tcBorders>
            <w:tcMar>
              <w:top w:w="120" w:type="dxa"/>
              <w:left w:w="120" w:type="dxa"/>
              <w:bottom w:w="120" w:type="dxa"/>
              <w:right w:w="120" w:type="dxa"/>
            </w:tcMar>
            <w:vAlign w:val="center"/>
            <w:hideMark/>
          </w:tcPr>
          <w:p w14:paraId="6C43C086" w14:textId="77777777" w:rsidR="00F844C8" w:rsidRPr="00F844C8" w:rsidRDefault="00F844C8" w:rsidP="00C12CDD">
            <w:pPr>
              <w:pStyle w:val="RALs-Normal"/>
              <w:spacing w:line="320" w:lineRule="atLeast"/>
              <w:ind w:firstLine="0"/>
              <w:rPr>
                <w:szCs w:val="20"/>
              </w:rPr>
            </w:pPr>
            <w:r w:rsidRPr="00F844C8">
              <w:rPr>
                <w:szCs w:val="20"/>
              </w:rPr>
              <w:t>Fourth year</w:t>
            </w:r>
          </w:p>
        </w:tc>
        <w:tc>
          <w:tcPr>
            <w:tcW w:w="0" w:type="auto"/>
            <w:tcBorders>
              <w:bottom w:val="single" w:sz="4" w:space="0" w:color="auto"/>
            </w:tcBorders>
            <w:tcMar>
              <w:top w:w="120" w:type="dxa"/>
              <w:left w:w="120" w:type="dxa"/>
              <w:bottom w:w="120" w:type="dxa"/>
              <w:right w:w="120" w:type="dxa"/>
            </w:tcMar>
            <w:vAlign w:val="center"/>
            <w:hideMark/>
          </w:tcPr>
          <w:p w14:paraId="7E3DC4D9" w14:textId="77777777" w:rsidR="00F844C8" w:rsidRPr="00F844C8" w:rsidRDefault="00F844C8" w:rsidP="00C12CDD">
            <w:pPr>
              <w:pStyle w:val="RALs-Normal"/>
              <w:spacing w:line="320" w:lineRule="atLeast"/>
              <w:ind w:firstLine="0"/>
              <w:rPr>
                <w:szCs w:val="20"/>
              </w:rPr>
            </w:pPr>
            <w:r w:rsidRPr="00F844C8">
              <w:rPr>
                <w:szCs w:val="20"/>
              </w:rPr>
              <w:t>2</w:t>
            </w:r>
          </w:p>
        </w:tc>
        <w:tc>
          <w:tcPr>
            <w:tcW w:w="0" w:type="auto"/>
            <w:tcBorders>
              <w:bottom w:val="single" w:sz="4" w:space="0" w:color="auto"/>
            </w:tcBorders>
            <w:tcMar>
              <w:top w:w="120" w:type="dxa"/>
              <w:left w:w="120" w:type="dxa"/>
              <w:bottom w:w="120" w:type="dxa"/>
              <w:right w:w="120" w:type="dxa"/>
            </w:tcMar>
            <w:vAlign w:val="center"/>
            <w:hideMark/>
          </w:tcPr>
          <w:p w14:paraId="22B5A674" w14:textId="77777777" w:rsidR="00F844C8" w:rsidRPr="00F844C8" w:rsidRDefault="00F844C8" w:rsidP="00C12CDD">
            <w:pPr>
              <w:pStyle w:val="RALs-Normal"/>
              <w:spacing w:line="320" w:lineRule="atLeast"/>
              <w:ind w:firstLine="0"/>
              <w:rPr>
                <w:szCs w:val="20"/>
              </w:rPr>
            </w:pPr>
            <w:r w:rsidRPr="00F844C8">
              <w:rPr>
                <w:szCs w:val="20"/>
              </w:rPr>
              <w:t>0.9%</w:t>
            </w:r>
          </w:p>
        </w:tc>
      </w:tr>
      <w:tr w:rsidR="00F844C8" w:rsidRPr="00F844C8" w14:paraId="0FE286BB" w14:textId="77777777" w:rsidTr="005047AD">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26A1C4EE" w14:textId="77777777" w:rsidR="00F844C8" w:rsidRPr="00F844C8" w:rsidRDefault="00F844C8" w:rsidP="00C12CDD">
            <w:pPr>
              <w:pStyle w:val="RALs-Normal"/>
              <w:spacing w:line="320" w:lineRule="atLeast"/>
              <w:ind w:firstLine="0"/>
              <w:rPr>
                <w:szCs w:val="20"/>
              </w:rPr>
            </w:pPr>
            <w:r w:rsidRPr="00F844C8">
              <w:rPr>
                <w:szCs w:val="20"/>
              </w:rPr>
              <w:t>Total</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270C9862" w14:textId="77777777" w:rsidR="00F844C8" w:rsidRPr="00F844C8" w:rsidRDefault="00F844C8" w:rsidP="00C12CDD">
            <w:pPr>
              <w:pStyle w:val="RALs-Normal"/>
              <w:spacing w:line="320" w:lineRule="atLeast"/>
              <w:ind w:firstLine="0"/>
              <w:rPr>
                <w:szCs w:val="20"/>
              </w:rPr>
            </w:pP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293EAABD" w14:textId="77777777" w:rsidR="00F844C8" w:rsidRPr="00F844C8" w:rsidRDefault="00F844C8" w:rsidP="00C12CDD">
            <w:pPr>
              <w:pStyle w:val="RALs-Normal"/>
              <w:spacing w:line="320" w:lineRule="atLeast"/>
              <w:ind w:firstLine="0"/>
              <w:rPr>
                <w:szCs w:val="20"/>
              </w:rPr>
            </w:pPr>
            <w:r w:rsidRPr="00F844C8">
              <w:rPr>
                <w:szCs w:val="20"/>
              </w:rPr>
              <w:t>219</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6428E4E8" w14:textId="77777777" w:rsidR="00F844C8" w:rsidRPr="00F844C8" w:rsidRDefault="00F844C8" w:rsidP="00C12CDD">
            <w:pPr>
              <w:pStyle w:val="RALs-Normal"/>
              <w:spacing w:line="320" w:lineRule="atLeast"/>
              <w:ind w:firstLine="0"/>
              <w:rPr>
                <w:szCs w:val="20"/>
              </w:rPr>
            </w:pPr>
            <w:r w:rsidRPr="00F844C8">
              <w:rPr>
                <w:szCs w:val="20"/>
              </w:rPr>
              <w:t>100.0%</w:t>
            </w:r>
          </w:p>
        </w:tc>
      </w:tr>
    </w:tbl>
    <w:p w14:paraId="037629C3" w14:textId="77777777" w:rsidR="00F844C8" w:rsidRDefault="00F844C8" w:rsidP="00934F68">
      <w:pPr>
        <w:pStyle w:val="RALs-Normal"/>
        <w:spacing w:before="0" w:afterLines="120" w:after="288" w:line="480" w:lineRule="auto"/>
        <w:rPr>
          <w:sz w:val="24"/>
          <w:szCs w:val="24"/>
        </w:rPr>
      </w:pPr>
    </w:p>
    <w:p w14:paraId="30AADE30" w14:textId="77777777" w:rsidR="00934F68" w:rsidRPr="00934F68" w:rsidRDefault="00934F68" w:rsidP="00934F68">
      <w:pPr>
        <w:pStyle w:val="RALs-Normal"/>
        <w:spacing w:before="0" w:afterLines="120" w:after="288" w:line="480" w:lineRule="auto"/>
        <w:rPr>
          <w:sz w:val="24"/>
          <w:szCs w:val="24"/>
        </w:rPr>
      </w:pPr>
      <w:r w:rsidRPr="00934F68">
        <w:rPr>
          <w:sz w:val="24"/>
          <w:szCs w:val="24"/>
        </w:rPr>
        <w:t>AI use in translation learning appeared to be both widespread and frequent. On a five-point frequency scale, the mean score for AI use reached 3.84, with 42.5% of students reporting that they used AI “often” and a further 26.0% “very often”. Only a small minority reported using AI “rarely” or “never”. In line with this pattern, 92.7% of respondents indicated that they had already used AI tools in their translation courses, which suggests that AI has become an integral part of students’ translation learning practices.</w:t>
      </w:r>
    </w:p>
    <w:p w14:paraId="2CF336AC" w14:textId="261AA01F" w:rsidR="008B1D12" w:rsidRPr="008B1D12" w:rsidRDefault="00934F68" w:rsidP="00934F68">
      <w:pPr>
        <w:pStyle w:val="RALs-Normal"/>
        <w:spacing w:before="0" w:afterLines="120" w:after="288" w:line="480" w:lineRule="auto"/>
        <w:rPr>
          <w:sz w:val="24"/>
          <w:szCs w:val="24"/>
        </w:rPr>
      </w:pPr>
      <w:r w:rsidRPr="00934F68">
        <w:rPr>
          <w:sz w:val="24"/>
          <w:szCs w:val="24"/>
        </w:rPr>
        <w:lastRenderedPageBreak/>
        <w:t xml:space="preserve">As for the purposes of use, grammar checking was the most common (32.9%), followed by vocabulary search (24.2%), idea generation (23.7%), and translation tasks themselves (19.2%). This distribution implies that students tended to rely on AI primarily as a support tool for language improvement, rather than as a full substitute for their own translation work. </w:t>
      </w:r>
      <w:proofErr w:type="gramStart"/>
      <w:r w:rsidRPr="00934F68">
        <w:rPr>
          <w:sz w:val="24"/>
          <w:szCs w:val="24"/>
        </w:rPr>
        <w:t>With regard to</w:t>
      </w:r>
      <w:proofErr w:type="gramEnd"/>
      <w:r w:rsidRPr="00934F68">
        <w:rPr>
          <w:sz w:val="24"/>
          <w:szCs w:val="24"/>
        </w:rPr>
        <w:t xml:space="preserve"> platforms, ChatGPT was by far the most frequently used tool (72.6%), whereas Grammarly, Google Translate, and Perplexity were each selected by considerably smaller proportions of respondents.</w:t>
      </w:r>
    </w:p>
    <w:p w14:paraId="57D5841D" w14:textId="5AE4D049" w:rsidR="008B1D12" w:rsidRPr="008B1D12" w:rsidRDefault="008B1D12" w:rsidP="008B1D12">
      <w:pPr>
        <w:pStyle w:val="Caption"/>
        <w:keepNext/>
        <w:ind w:firstLine="0"/>
        <w:jc w:val="left"/>
        <w:rPr>
          <w:color w:val="000000" w:themeColor="text1"/>
          <w:sz w:val="20"/>
          <w:szCs w:val="20"/>
        </w:rPr>
      </w:pPr>
      <w:r w:rsidRPr="004C67E4">
        <w:rPr>
          <w:b/>
          <w:bCs/>
          <w:i w:val="0"/>
          <w:iCs w:val="0"/>
          <w:color w:val="000000" w:themeColor="text1"/>
          <w:sz w:val="24"/>
          <w:szCs w:val="24"/>
        </w:rPr>
        <w:t xml:space="preserve">Table </w:t>
      </w:r>
      <w:r w:rsidRPr="004C67E4">
        <w:rPr>
          <w:b/>
          <w:bCs/>
          <w:i w:val="0"/>
          <w:iCs w:val="0"/>
          <w:color w:val="000000" w:themeColor="text1"/>
          <w:sz w:val="24"/>
          <w:szCs w:val="24"/>
        </w:rPr>
        <w:fldChar w:fldCharType="begin"/>
      </w:r>
      <w:r w:rsidRPr="004C67E4">
        <w:rPr>
          <w:b/>
          <w:bCs/>
          <w:i w:val="0"/>
          <w:iCs w:val="0"/>
          <w:color w:val="000000" w:themeColor="text1"/>
          <w:sz w:val="24"/>
          <w:szCs w:val="24"/>
        </w:rPr>
        <w:instrText xml:space="preserve"> SEQ Table \* ARABIC </w:instrText>
      </w:r>
      <w:r w:rsidRPr="004C67E4">
        <w:rPr>
          <w:b/>
          <w:bCs/>
          <w:i w:val="0"/>
          <w:iCs w:val="0"/>
          <w:color w:val="000000" w:themeColor="text1"/>
          <w:sz w:val="24"/>
          <w:szCs w:val="24"/>
        </w:rPr>
        <w:fldChar w:fldCharType="separate"/>
      </w:r>
      <w:r w:rsidR="00934F68">
        <w:rPr>
          <w:b/>
          <w:bCs/>
          <w:i w:val="0"/>
          <w:iCs w:val="0"/>
          <w:noProof/>
          <w:color w:val="000000" w:themeColor="text1"/>
          <w:sz w:val="24"/>
          <w:szCs w:val="24"/>
        </w:rPr>
        <w:t>3</w:t>
      </w:r>
      <w:r w:rsidRPr="004C67E4">
        <w:rPr>
          <w:b/>
          <w:bCs/>
          <w:i w:val="0"/>
          <w:iCs w:val="0"/>
          <w:color w:val="000000" w:themeColor="text1"/>
          <w:sz w:val="24"/>
          <w:szCs w:val="24"/>
        </w:rPr>
        <w:fldChar w:fldCharType="end"/>
      </w:r>
      <w:r w:rsidRPr="004C67E4">
        <w:rPr>
          <w:color w:val="000000" w:themeColor="text1"/>
          <w:sz w:val="24"/>
          <w:szCs w:val="24"/>
        </w:rPr>
        <w:br/>
        <w:t>AI Usage Patterns</w:t>
      </w:r>
    </w:p>
    <w:tbl>
      <w:tblPr>
        <w:tblW w:w="5000" w:type="pct"/>
        <w:tblCellMar>
          <w:top w:w="15" w:type="dxa"/>
          <w:left w:w="15" w:type="dxa"/>
          <w:bottom w:w="15" w:type="dxa"/>
          <w:right w:w="15" w:type="dxa"/>
        </w:tblCellMar>
        <w:tblLook w:val="04A0" w:firstRow="1" w:lastRow="0" w:firstColumn="1" w:lastColumn="0" w:noHBand="0" w:noVBand="1"/>
      </w:tblPr>
      <w:tblGrid>
        <w:gridCol w:w="2549"/>
        <w:gridCol w:w="2801"/>
        <w:gridCol w:w="1812"/>
        <w:gridCol w:w="1864"/>
      </w:tblGrid>
      <w:tr w:rsidR="008B1D12" w:rsidRPr="008B1D12" w14:paraId="5E148D22" w14:textId="77777777" w:rsidTr="008B1D12">
        <w:trPr>
          <w:tblHeader/>
        </w:trPr>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194C8916" w14:textId="77777777" w:rsidR="008B1D12" w:rsidRPr="008B1D12" w:rsidRDefault="008B1D12" w:rsidP="00C12CDD">
            <w:pPr>
              <w:pStyle w:val="RALs-Normal"/>
              <w:spacing w:line="320" w:lineRule="atLeast"/>
              <w:ind w:firstLine="0"/>
              <w:rPr>
                <w:b/>
                <w:bCs/>
                <w:szCs w:val="20"/>
              </w:rPr>
            </w:pPr>
            <w:r w:rsidRPr="008B1D12">
              <w:rPr>
                <w:b/>
                <w:bCs/>
                <w:szCs w:val="20"/>
              </w:rPr>
              <w:t>Variable</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2833D46E" w14:textId="77777777" w:rsidR="008B1D12" w:rsidRPr="008B1D12" w:rsidRDefault="008B1D12" w:rsidP="00C12CDD">
            <w:pPr>
              <w:pStyle w:val="RALs-Normal"/>
              <w:spacing w:line="320" w:lineRule="atLeast"/>
              <w:ind w:firstLine="0"/>
              <w:rPr>
                <w:b/>
                <w:bCs/>
                <w:szCs w:val="20"/>
              </w:rPr>
            </w:pPr>
            <w:r w:rsidRPr="008B1D12">
              <w:rPr>
                <w:b/>
                <w:bCs/>
                <w:szCs w:val="20"/>
              </w:rPr>
              <w:t>Category</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676945B8" w14:textId="77777777" w:rsidR="008B1D12" w:rsidRPr="008B1D12" w:rsidRDefault="008B1D12" w:rsidP="00C12CDD">
            <w:pPr>
              <w:pStyle w:val="RALs-Normal"/>
              <w:spacing w:line="320" w:lineRule="atLeast"/>
              <w:ind w:firstLine="0"/>
              <w:rPr>
                <w:b/>
                <w:bCs/>
                <w:szCs w:val="20"/>
              </w:rPr>
            </w:pPr>
            <w:r w:rsidRPr="008B1D12">
              <w:rPr>
                <w:b/>
                <w:bCs/>
                <w:szCs w:val="20"/>
              </w:rPr>
              <w:t>Frequency</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4CA481CE" w14:textId="77777777" w:rsidR="008B1D12" w:rsidRPr="008B1D12" w:rsidRDefault="008B1D12" w:rsidP="00C12CDD">
            <w:pPr>
              <w:pStyle w:val="RALs-Normal"/>
              <w:spacing w:line="320" w:lineRule="atLeast"/>
              <w:ind w:firstLine="0"/>
              <w:rPr>
                <w:b/>
                <w:bCs/>
                <w:szCs w:val="20"/>
              </w:rPr>
            </w:pPr>
            <w:r w:rsidRPr="008B1D12">
              <w:rPr>
                <w:b/>
                <w:bCs/>
                <w:szCs w:val="20"/>
              </w:rPr>
              <w:t>Percentage</w:t>
            </w:r>
          </w:p>
        </w:tc>
      </w:tr>
      <w:tr w:rsidR="008B1D12" w:rsidRPr="008B1D12" w14:paraId="7F61C6D4" w14:textId="77777777" w:rsidTr="008B1D12">
        <w:tc>
          <w:tcPr>
            <w:tcW w:w="0" w:type="auto"/>
            <w:tcBorders>
              <w:top w:val="single" w:sz="4" w:space="0" w:color="auto"/>
            </w:tcBorders>
            <w:tcMar>
              <w:top w:w="120" w:type="dxa"/>
              <w:left w:w="120" w:type="dxa"/>
              <w:bottom w:w="120" w:type="dxa"/>
              <w:right w:w="120" w:type="dxa"/>
            </w:tcMar>
            <w:vAlign w:val="center"/>
            <w:hideMark/>
          </w:tcPr>
          <w:p w14:paraId="55772E43" w14:textId="77777777" w:rsidR="008B1D12" w:rsidRPr="008B1D12" w:rsidRDefault="008B1D12" w:rsidP="00C12CDD">
            <w:pPr>
              <w:pStyle w:val="RALs-Normal"/>
              <w:spacing w:line="320" w:lineRule="atLeast"/>
              <w:ind w:firstLine="0"/>
              <w:rPr>
                <w:szCs w:val="20"/>
              </w:rPr>
            </w:pPr>
            <w:r w:rsidRPr="008B1D12">
              <w:rPr>
                <w:szCs w:val="20"/>
              </w:rPr>
              <w:t>AI use frequency</w:t>
            </w:r>
          </w:p>
        </w:tc>
        <w:tc>
          <w:tcPr>
            <w:tcW w:w="0" w:type="auto"/>
            <w:tcBorders>
              <w:top w:val="single" w:sz="4" w:space="0" w:color="auto"/>
            </w:tcBorders>
            <w:tcMar>
              <w:top w:w="120" w:type="dxa"/>
              <w:left w:w="120" w:type="dxa"/>
              <w:bottom w:w="120" w:type="dxa"/>
              <w:right w:w="120" w:type="dxa"/>
            </w:tcMar>
            <w:vAlign w:val="center"/>
            <w:hideMark/>
          </w:tcPr>
          <w:p w14:paraId="5836A32B" w14:textId="77777777" w:rsidR="008B1D12" w:rsidRPr="008B1D12" w:rsidRDefault="008B1D12" w:rsidP="00C12CDD">
            <w:pPr>
              <w:pStyle w:val="RALs-Normal"/>
              <w:spacing w:line="320" w:lineRule="atLeast"/>
              <w:ind w:firstLine="0"/>
              <w:rPr>
                <w:szCs w:val="20"/>
              </w:rPr>
            </w:pPr>
            <w:r w:rsidRPr="008B1D12">
              <w:rPr>
                <w:szCs w:val="20"/>
              </w:rPr>
              <w:t>Never</w:t>
            </w:r>
          </w:p>
        </w:tc>
        <w:tc>
          <w:tcPr>
            <w:tcW w:w="0" w:type="auto"/>
            <w:tcBorders>
              <w:top w:val="single" w:sz="4" w:space="0" w:color="auto"/>
            </w:tcBorders>
            <w:tcMar>
              <w:top w:w="120" w:type="dxa"/>
              <w:left w:w="120" w:type="dxa"/>
              <w:bottom w:w="120" w:type="dxa"/>
              <w:right w:w="120" w:type="dxa"/>
            </w:tcMar>
            <w:vAlign w:val="center"/>
            <w:hideMark/>
          </w:tcPr>
          <w:p w14:paraId="431E98DD" w14:textId="77777777" w:rsidR="008B1D12" w:rsidRPr="008B1D12" w:rsidRDefault="008B1D12" w:rsidP="00C12CDD">
            <w:pPr>
              <w:pStyle w:val="RALs-Normal"/>
              <w:spacing w:line="320" w:lineRule="atLeast"/>
              <w:ind w:firstLine="0"/>
              <w:rPr>
                <w:szCs w:val="20"/>
              </w:rPr>
            </w:pPr>
            <w:r w:rsidRPr="008B1D12">
              <w:rPr>
                <w:szCs w:val="20"/>
              </w:rPr>
              <w:t>3</w:t>
            </w:r>
          </w:p>
        </w:tc>
        <w:tc>
          <w:tcPr>
            <w:tcW w:w="0" w:type="auto"/>
            <w:tcBorders>
              <w:top w:val="single" w:sz="4" w:space="0" w:color="auto"/>
            </w:tcBorders>
            <w:tcMar>
              <w:top w:w="120" w:type="dxa"/>
              <w:left w:w="120" w:type="dxa"/>
              <w:bottom w:w="120" w:type="dxa"/>
              <w:right w:w="120" w:type="dxa"/>
            </w:tcMar>
            <w:vAlign w:val="center"/>
            <w:hideMark/>
          </w:tcPr>
          <w:p w14:paraId="07DB33E0" w14:textId="77777777" w:rsidR="008B1D12" w:rsidRPr="008B1D12" w:rsidRDefault="008B1D12" w:rsidP="00C12CDD">
            <w:pPr>
              <w:pStyle w:val="RALs-Normal"/>
              <w:spacing w:line="320" w:lineRule="atLeast"/>
              <w:ind w:firstLine="0"/>
              <w:rPr>
                <w:szCs w:val="20"/>
              </w:rPr>
            </w:pPr>
            <w:r w:rsidRPr="008B1D12">
              <w:rPr>
                <w:szCs w:val="20"/>
              </w:rPr>
              <w:t>1.4%</w:t>
            </w:r>
          </w:p>
        </w:tc>
      </w:tr>
      <w:tr w:rsidR="008B1D12" w:rsidRPr="008B1D12" w14:paraId="154E934D" w14:textId="77777777" w:rsidTr="008B1D12">
        <w:tc>
          <w:tcPr>
            <w:tcW w:w="0" w:type="auto"/>
            <w:tcMar>
              <w:top w:w="120" w:type="dxa"/>
              <w:left w:w="120" w:type="dxa"/>
              <w:bottom w:w="120" w:type="dxa"/>
              <w:right w:w="120" w:type="dxa"/>
            </w:tcMar>
            <w:vAlign w:val="center"/>
            <w:hideMark/>
          </w:tcPr>
          <w:p w14:paraId="6515A488" w14:textId="77777777" w:rsidR="008B1D12" w:rsidRPr="008B1D12" w:rsidRDefault="008B1D12" w:rsidP="00C12CDD">
            <w:pPr>
              <w:pStyle w:val="RALs-Normal"/>
              <w:spacing w:line="320" w:lineRule="atLeast"/>
              <w:ind w:firstLine="0"/>
              <w:rPr>
                <w:szCs w:val="20"/>
              </w:rPr>
            </w:pPr>
          </w:p>
        </w:tc>
        <w:tc>
          <w:tcPr>
            <w:tcW w:w="0" w:type="auto"/>
            <w:tcMar>
              <w:top w:w="120" w:type="dxa"/>
              <w:left w:w="120" w:type="dxa"/>
              <w:bottom w:w="120" w:type="dxa"/>
              <w:right w:w="120" w:type="dxa"/>
            </w:tcMar>
            <w:vAlign w:val="center"/>
            <w:hideMark/>
          </w:tcPr>
          <w:p w14:paraId="0A55D671" w14:textId="77777777" w:rsidR="008B1D12" w:rsidRPr="008B1D12" w:rsidRDefault="008B1D12" w:rsidP="00C12CDD">
            <w:pPr>
              <w:pStyle w:val="RALs-Normal"/>
              <w:spacing w:line="320" w:lineRule="atLeast"/>
              <w:ind w:firstLine="0"/>
              <w:rPr>
                <w:szCs w:val="20"/>
              </w:rPr>
            </w:pPr>
            <w:r w:rsidRPr="008B1D12">
              <w:rPr>
                <w:szCs w:val="20"/>
              </w:rPr>
              <w:t>Rarely</w:t>
            </w:r>
          </w:p>
        </w:tc>
        <w:tc>
          <w:tcPr>
            <w:tcW w:w="0" w:type="auto"/>
            <w:tcMar>
              <w:top w:w="120" w:type="dxa"/>
              <w:left w:w="120" w:type="dxa"/>
              <w:bottom w:w="120" w:type="dxa"/>
              <w:right w:w="120" w:type="dxa"/>
            </w:tcMar>
            <w:vAlign w:val="center"/>
            <w:hideMark/>
          </w:tcPr>
          <w:p w14:paraId="1A106925" w14:textId="77777777" w:rsidR="008B1D12" w:rsidRPr="008B1D12" w:rsidRDefault="008B1D12" w:rsidP="00C12CDD">
            <w:pPr>
              <w:pStyle w:val="RALs-Normal"/>
              <w:spacing w:line="320" w:lineRule="atLeast"/>
              <w:ind w:firstLine="0"/>
              <w:rPr>
                <w:szCs w:val="20"/>
              </w:rPr>
            </w:pPr>
            <w:r w:rsidRPr="008B1D12">
              <w:rPr>
                <w:szCs w:val="20"/>
              </w:rPr>
              <w:t>16</w:t>
            </w:r>
          </w:p>
        </w:tc>
        <w:tc>
          <w:tcPr>
            <w:tcW w:w="0" w:type="auto"/>
            <w:tcMar>
              <w:top w:w="120" w:type="dxa"/>
              <w:left w:w="120" w:type="dxa"/>
              <w:bottom w:w="120" w:type="dxa"/>
              <w:right w:w="120" w:type="dxa"/>
            </w:tcMar>
            <w:vAlign w:val="center"/>
            <w:hideMark/>
          </w:tcPr>
          <w:p w14:paraId="029E7DD9" w14:textId="77777777" w:rsidR="008B1D12" w:rsidRPr="008B1D12" w:rsidRDefault="008B1D12" w:rsidP="00C12CDD">
            <w:pPr>
              <w:pStyle w:val="RALs-Normal"/>
              <w:spacing w:line="320" w:lineRule="atLeast"/>
              <w:ind w:firstLine="0"/>
              <w:rPr>
                <w:szCs w:val="20"/>
              </w:rPr>
            </w:pPr>
            <w:r w:rsidRPr="008B1D12">
              <w:rPr>
                <w:szCs w:val="20"/>
              </w:rPr>
              <w:t>7.3%</w:t>
            </w:r>
          </w:p>
        </w:tc>
      </w:tr>
      <w:tr w:rsidR="008B1D12" w:rsidRPr="008B1D12" w14:paraId="1D95F622" w14:textId="77777777" w:rsidTr="008B1D12">
        <w:tc>
          <w:tcPr>
            <w:tcW w:w="0" w:type="auto"/>
            <w:tcMar>
              <w:top w:w="120" w:type="dxa"/>
              <w:left w:w="120" w:type="dxa"/>
              <w:bottom w:w="120" w:type="dxa"/>
              <w:right w:w="120" w:type="dxa"/>
            </w:tcMar>
            <w:vAlign w:val="center"/>
            <w:hideMark/>
          </w:tcPr>
          <w:p w14:paraId="02759D90" w14:textId="77777777" w:rsidR="008B1D12" w:rsidRPr="008B1D12" w:rsidRDefault="008B1D12" w:rsidP="00C12CDD">
            <w:pPr>
              <w:pStyle w:val="RALs-Normal"/>
              <w:spacing w:line="320" w:lineRule="atLeast"/>
              <w:ind w:firstLine="0"/>
              <w:rPr>
                <w:szCs w:val="20"/>
              </w:rPr>
            </w:pPr>
          </w:p>
        </w:tc>
        <w:tc>
          <w:tcPr>
            <w:tcW w:w="0" w:type="auto"/>
            <w:tcMar>
              <w:top w:w="120" w:type="dxa"/>
              <w:left w:w="120" w:type="dxa"/>
              <w:bottom w:w="120" w:type="dxa"/>
              <w:right w:w="120" w:type="dxa"/>
            </w:tcMar>
            <w:vAlign w:val="center"/>
            <w:hideMark/>
          </w:tcPr>
          <w:p w14:paraId="752A4459" w14:textId="77777777" w:rsidR="008B1D12" w:rsidRPr="008B1D12" w:rsidRDefault="008B1D12" w:rsidP="00C12CDD">
            <w:pPr>
              <w:pStyle w:val="RALs-Normal"/>
              <w:spacing w:line="320" w:lineRule="atLeast"/>
              <w:ind w:firstLine="0"/>
              <w:rPr>
                <w:szCs w:val="20"/>
              </w:rPr>
            </w:pPr>
            <w:r w:rsidRPr="008B1D12">
              <w:rPr>
                <w:szCs w:val="20"/>
              </w:rPr>
              <w:t>Sometimes</w:t>
            </w:r>
          </w:p>
        </w:tc>
        <w:tc>
          <w:tcPr>
            <w:tcW w:w="0" w:type="auto"/>
            <w:tcMar>
              <w:top w:w="120" w:type="dxa"/>
              <w:left w:w="120" w:type="dxa"/>
              <w:bottom w:w="120" w:type="dxa"/>
              <w:right w:w="120" w:type="dxa"/>
            </w:tcMar>
            <w:vAlign w:val="center"/>
            <w:hideMark/>
          </w:tcPr>
          <w:p w14:paraId="718CFC86" w14:textId="77777777" w:rsidR="008B1D12" w:rsidRPr="008B1D12" w:rsidRDefault="008B1D12" w:rsidP="00C12CDD">
            <w:pPr>
              <w:pStyle w:val="RALs-Normal"/>
              <w:spacing w:line="320" w:lineRule="atLeast"/>
              <w:ind w:firstLine="0"/>
              <w:rPr>
                <w:szCs w:val="20"/>
              </w:rPr>
            </w:pPr>
            <w:r w:rsidRPr="008B1D12">
              <w:rPr>
                <w:szCs w:val="20"/>
              </w:rPr>
              <w:t>50</w:t>
            </w:r>
          </w:p>
        </w:tc>
        <w:tc>
          <w:tcPr>
            <w:tcW w:w="0" w:type="auto"/>
            <w:tcMar>
              <w:top w:w="120" w:type="dxa"/>
              <w:left w:w="120" w:type="dxa"/>
              <w:bottom w:w="120" w:type="dxa"/>
              <w:right w:w="120" w:type="dxa"/>
            </w:tcMar>
            <w:vAlign w:val="center"/>
            <w:hideMark/>
          </w:tcPr>
          <w:p w14:paraId="48C08AB4" w14:textId="77777777" w:rsidR="008B1D12" w:rsidRPr="008B1D12" w:rsidRDefault="008B1D12" w:rsidP="00C12CDD">
            <w:pPr>
              <w:pStyle w:val="RALs-Normal"/>
              <w:spacing w:line="320" w:lineRule="atLeast"/>
              <w:ind w:firstLine="0"/>
              <w:rPr>
                <w:szCs w:val="20"/>
              </w:rPr>
            </w:pPr>
            <w:r w:rsidRPr="008B1D12">
              <w:rPr>
                <w:szCs w:val="20"/>
              </w:rPr>
              <w:t>22.8%</w:t>
            </w:r>
          </w:p>
        </w:tc>
      </w:tr>
      <w:tr w:rsidR="008B1D12" w:rsidRPr="008B1D12" w14:paraId="6F2C7380" w14:textId="77777777" w:rsidTr="008B1D12">
        <w:tc>
          <w:tcPr>
            <w:tcW w:w="0" w:type="auto"/>
            <w:tcMar>
              <w:top w:w="120" w:type="dxa"/>
              <w:left w:w="120" w:type="dxa"/>
              <w:bottom w:w="120" w:type="dxa"/>
              <w:right w:w="120" w:type="dxa"/>
            </w:tcMar>
            <w:vAlign w:val="center"/>
            <w:hideMark/>
          </w:tcPr>
          <w:p w14:paraId="1D10288E" w14:textId="77777777" w:rsidR="008B1D12" w:rsidRPr="008B1D12" w:rsidRDefault="008B1D12" w:rsidP="00C12CDD">
            <w:pPr>
              <w:pStyle w:val="RALs-Normal"/>
              <w:spacing w:line="320" w:lineRule="atLeast"/>
              <w:ind w:firstLine="0"/>
              <w:rPr>
                <w:szCs w:val="20"/>
              </w:rPr>
            </w:pPr>
          </w:p>
        </w:tc>
        <w:tc>
          <w:tcPr>
            <w:tcW w:w="0" w:type="auto"/>
            <w:tcMar>
              <w:top w:w="120" w:type="dxa"/>
              <w:left w:w="120" w:type="dxa"/>
              <w:bottom w:w="120" w:type="dxa"/>
              <w:right w:w="120" w:type="dxa"/>
            </w:tcMar>
            <w:vAlign w:val="center"/>
            <w:hideMark/>
          </w:tcPr>
          <w:p w14:paraId="0FF09DE4" w14:textId="77777777" w:rsidR="008B1D12" w:rsidRPr="008B1D12" w:rsidRDefault="008B1D12" w:rsidP="00C12CDD">
            <w:pPr>
              <w:pStyle w:val="RALs-Normal"/>
              <w:spacing w:line="320" w:lineRule="atLeast"/>
              <w:ind w:firstLine="0"/>
              <w:rPr>
                <w:szCs w:val="20"/>
              </w:rPr>
            </w:pPr>
            <w:r w:rsidRPr="008B1D12">
              <w:rPr>
                <w:szCs w:val="20"/>
              </w:rPr>
              <w:t>Often</w:t>
            </w:r>
          </w:p>
        </w:tc>
        <w:tc>
          <w:tcPr>
            <w:tcW w:w="0" w:type="auto"/>
            <w:tcMar>
              <w:top w:w="120" w:type="dxa"/>
              <w:left w:w="120" w:type="dxa"/>
              <w:bottom w:w="120" w:type="dxa"/>
              <w:right w:w="120" w:type="dxa"/>
            </w:tcMar>
            <w:vAlign w:val="center"/>
            <w:hideMark/>
          </w:tcPr>
          <w:p w14:paraId="1CE5E030" w14:textId="77777777" w:rsidR="008B1D12" w:rsidRPr="008B1D12" w:rsidRDefault="008B1D12" w:rsidP="00C12CDD">
            <w:pPr>
              <w:pStyle w:val="RALs-Normal"/>
              <w:spacing w:line="320" w:lineRule="atLeast"/>
              <w:ind w:firstLine="0"/>
              <w:rPr>
                <w:szCs w:val="20"/>
              </w:rPr>
            </w:pPr>
            <w:r w:rsidRPr="008B1D12">
              <w:rPr>
                <w:szCs w:val="20"/>
              </w:rPr>
              <w:t>93</w:t>
            </w:r>
          </w:p>
        </w:tc>
        <w:tc>
          <w:tcPr>
            <w:tcW w:w="0" w:type="auto"/>
            <w:tcMar>
              <w:top w:w="120" w:type="dxa"/>
              <w:left w:w="120" w:type="dxa"/>
              <w:bottom w:w="120" w:type="dxa"/>
              <w:right w:w="120" w:type="dxa"/>
            </w:tcMar>
            <w:vAlign w:val="center"/>
            <w:hideMark/>
          </w:tcPr>
          <w:p w14:paraId="39D6594B" w14:textId="77777777" w:rsidR="008B1D12" w:rsidRPr="008B1D12" w:rsidRDefault="008B1D12" w:rsidP="00C12CDD">
            <w:pPr>
              <w:pStyle w:val="RALs-Normal"/>
              <w:spacing w:line="320" w:lineRule="atLeast"/>
              <w:ind w:firstLine="0"/>
              <w:rPr>
                <w:szCs w:val="20"/>
              </w:rPr>
            </w:pPr>
            <w:r w:rsidRPr="008B1D12">
              <w:rPr>
                <w:szCs w:val="20"/>
              </w:rPr>
              <w:t>42.5%</w:t>
            </w:r>
          </w:p>
        </w:tc>
      </w:tr>
      <w:tr w:rsidR="008B1D12" w:rsidRPr="008B1D12" w14:paraId="78A85D4F" w14:textId="77777777" w:rsidTr="008B1D12">
        <w:tc>
          <w:tcPr>
            <w:tcW w:w="0" w:type="auto"/>
            <w:tcMar>
              <w:top w:w="120" w:type="dxa"/>
              <w:left w:w="120" w:type="dxa"/>
              <w:bottom w:w="120" w:type="dxa"/>
              <w:right w:w="120" w:type="dxa"/>
            </w:tcMar>
            <w:vAlign w:val="center"/>
            <w:hideMark/>
          </w:tcPr>
          <w:p w14:paraId="1757ECDD" w14:textId="77777777" w:rsidR="008B1D12" w:rsidRPr="008B1D12" w:rsidRDefault="008B1D12" w:rsidP="00C12CDD">
            <w:pPr>
              <w:pStyle w:val="RALs-Normal"/>
              <w:spacing w:line="320" w:lineRule="atLeast"/>
              <w:ind w:firstLine="0"/>
              <w:rPr>
                <w:szCs w:val="20"/>
              </w:rPr>
            </w:pPr>
          </w:p>
        </w:tc>
        <w:tc>
          <w:tcPr>
            <w:tcW w:w="0" w:type="auto"/>
            <w:tcMar>
              <w:top w:w="120" w:type="dxa"/>
              <w:left w:w="120" w:type="dxa"/>
              <w:bottom w:w="120" w:type="dxa"/>
              <w:right w:w="120" w:type="dxa"/>
            </w:tcMar>
            <w:vAlign w:val="center"/>
            <w:hideMark/>
          </w:tcPr>
          <w:p w14:paraId="23269B66" w14:textId="77777777" w:rsidR="008B1D12" w:rsidRPr="008B1D12" w:rsidRDefault="008B1D12" w:rsidP="00C12CDD">
            <w:pPr>
              <w:pStyle w:val="RALs-Normal"/>
              <w:spacing w:line="320" w:lineRule="atLeast"/>
              <w:ind w:firstLine="0"/>
              <w:rPr>
                <w:szCs w:val="20"/>
              </w:rPr>
            </w:pPr>
            <w:r w:rsidRPr="008B1D12">
              <w:rPr>
                <w:szCs w:val="20"/>
              </w:rPr>
              <w:t>Very often</w:t>
            </w:r>
          </w:p>
        </w:tc>
        <w:tc>
          <w:tcPr>
            <w:tcW w:w="0" w:type="auto"/>
            <w:tcMar>
              <w:top w:w="120" w:type="dxa"/>
              <w:left w:w="120" w:type="dxa"/>
              <w:bottom w:w="120" w:type="dxa"/>
              <w:right w:w="120" w:type="dxa"/>
            </w:tcMar>
            <w:vAlign w:val="center"/>
            <w:hideMark/>
          </w:tcPr>
          <w:p w14:paraId="1B246BFA" w14:textId="77777777" w:rsidR="008B1D12" w:rsidRPr="008B1D12" w:rsidRDefault="008B1D12" w:rsidP="00C12CDD">
            <w:pPr>
              <w:pStyle w:val="RALs-Normal"/>
              <w:spacing w:line="320" w:lineRule="atLeast"/>
              <w:ind w:firstLine="0"/>
              <w:rPr>
                <w:szCs w:val="20"/>
              </w:rPr>
            </w:pPr>
            <w:r w:rsidRPr="008B1D12">
              <w:rPr>
                <w:szCs w:val="20"/>
              </w:rPr>
              <w:t>57</w:t>
            </w:r>
          </w:p>
        </w:tc>
        <w:tc>
          <w:tcPr>
            <w:tcW w:w="0" w:type="auto"/>
            <w:tcMar>
              <w:top w:w="120" w:type="dxa"/>
              <w:left w:w="120" w:type="dxa"/>
              <w:bottom w:w="120" w:type="dxa"/>
              <w:right w:w="120" w:type="dxa"/>
            </w:tcMar>
            <w:vAlign w:val="center"/>
            <w:hideMark/>
          </w:tcPr>
          <w:p w14:paraId="5F4F1A14" w14:textId="77777777" w:rsidR="008B1D12" w:rsidRPr="008B1D12" w:rsidRDefault="008B1D12" w:rsidP="00C12CDD">
            <w:pPr>
              <w:pStyle w:val="RALs-Normal"/>
              <w:spacing w:line="320" w:lineRule="atLeast"/>
              <w:ind w:firstLine="0"/>
              <w:rPr>
                <w:szCs w:val="20"/>
              </w:rPr>
            </w:pPr>
            <w:r w:rsidRPr="008B1D12">
              <w:rPr>
                <w:szCs w:val="20"/>
              </w:rPr>
              <w:t>26.0%</w:t>
            </w:r>
          </w:p>
        </w:tc>
      </w:tr>
      <w:tr w:rsidR="008B1D12" w:rsidRPr="008B1D12" w14:paraId="3A4F8D5C" w14:textId="77777777" w:rsidTr="008B1D12">
        <w:tc>
          <w:tcPr>
            <w:tcW w:w="0" w:type="auto"/>
            <w:tcMar>
              <w:top w:w="120" w:type="dxa"/>
              <w:left w:w="120" w:type="dxa"/>
              <w:bottom w:w="120" w:type="dxa"/>
              <w:right w:w="120" w:type="dxa"/>
            </w:tcMar>
            <w:vAlign w:val="center"/>
            <w:hideMark/>
          </w:tcPr>
          <w:p w14:paraId="6E109D0D" w14:textId="77777777" w:rsidR="008B1D12" w:rsidRPr="008B1D12" w:rsidRDefault="008B1D12" w:rsidP="00C12CDD">
            <w:pPr>
              <w:pStyle w:val="RALs-Normal"/>
              <w:spacing w:line="320" w:lineRule="atLeast"/>
              <w:ind w:firstLine="0"/>
              <w:rPr>
                <w:szCs w:val="20"/>
              </w:rPr>
            </w:pPr>
            <w:r w:rsidRPr="008B1D12">
              <w:rPr>
                <w:szCs w:val="20"/>
              </w:rPr>
              <w:t>Main purpose</w:t>
            </w:r>
          </w:p>
        </w:tc>
        <w:tc>
          <w:tcPr>
            <w:tcW w:w="0" w:type="auto"/>
            <w:tcMar>
              <w:top w:w="120" w:type="dxa"/>
              <w:left w:w="120" w:type="dxa"/>
              <w:bottom w:w="120" w:type="dxa"/>
              <w:right w:w="120" w:type="dxa"/>
            </w:tcMar>
            <w:vAlign w:val="center"/>
            <w:hideMark/>
          </w:tcPr>
          <w:p w14:paraId="0E65F795" w14:textId="77777777" w:rsidR="008B1D12" w:rsidRPr="008B1D12" w:rsidRDefault="008B1D12" w:rsidP="00C12CDD">
            <w:pPr>
              <w:pStyle w:val="RALs-Normal"/>
              <w:spacing w:line="320" w:lineRule="atLeast"/>
              <w:ind w:firstLine="0"/>
              <w:rPr>
                <w:szCs w:val="20"/>
              </w:rPr>
            </w:pPr>
            <w:r w:rsidRPr="008B1D12">
              <w:rPr>
                <w:szCs w:val="20"/>
              </w:rPr>
              <w:t>Grammar checking</w:t>
            </w:r>
          </w:p>
        </w:tc>
        <w:tc>
          <w:tcPr>
            <w:tcW w:w="0" w:type="auto"/>
            <w:tcMar>
              <w:top w:w="120" w:type="dxa"/>
              <w:left w:w="120" w:type="dxa"/>
              <w:bottom w:w="120" w:type="dxa"/>
              <w:right w:w="120" w:type="dxa"/>
            </w:tcMar>
            <w:vAlign w:val="center"/>
            <w:hideMark/>
          </w:tcPr>
          <w:p w14:paraId="78D7CC58" w14:textId="77777777" w:rsidR="008B1D12" w:rsidRPr="008B1D12" w:rsidRDefault="008B1D12" w:rsidP="00C12CDD">
            <w:pPr>
              <w:pStyle w:val="RALs-Normal"/>
              <w:spacing w:line="320" w:lineRule="atLeast"/>
              <w:ind w:firstLine="0"/>
              <w:rPr>
                <w:szCs w:val="20"/>
              </w:rPr>
            </w:pPr>
            <w:r w:rsidRPr="008B1D12">
              <w:rPr>
                <w:szCs w:val="20"/>
              </w:rPr>
              <w:t>72</w:t>
            </w:r>
          </w:p>
        </w:tc>
        <w:tc>
          <w:tcPr>
            <w:tcW w:w="0" w:type="auto"/>
            <w:tcMar>
              <w:top w:w="120" w:type="dxa"/>
              <w:left w:w="120" w:type="dxa"/>
              <w:bottom w:w="120" w:type="dxa"/>
              <w:right w:w="120" w:type="dxa"/>
            </w:tcMar>
            <w:vAlign w:val="center"/>
            <w:hideMark/>
          </w:tcPr>
          <w:p w14:paraId="09C7352C" w14:textId="77777777" w:rsidR="008B1D12" w:rsidRPr="008B1D12" w:rsidRDefault="008B1D12" w:rsidP="00C12CDD">
            <w:pPr>
              <w:pStyle w:val="RALs-Normal"/>
              <w:spacing w:line="320" w:lineRule="atLeast"/>
              <w:ind w:firstLine="0"/>
              <w:rPr>
                <w:szCs w:val="20"/>
              </w:rPr>
            </w:pPr>
            <w:r w:rsidRPr="008B1D12">
              <w:rPr>
                <w:szCs w:val="20"/>
              </w:rPr>
              <w:t>32.9%</w:t>
            </w:r>
          </w:p>
        </w:tc>
      </w:tr>
      <w:tr w:rsidR="008B1D12" w:rsidRPr="008B1D12" w14:paraId="1726C920" w14:textId="77777777" w:rsidTr="008B1D12">
        <w:tc>
          <w:tcPr>
            <w:tcW w:w="0" w:type="auto"/>
            <w:tcMar>
              <w:top w:w="120" w:type="dxa"/>
              <w:left w:w="120" w:type="dxa"/>
              <w:bottom w:w="120" w:type="dxa"/>
              <w:right w:w="120" w:type="dxa"/>
            </w:tcMar>
            <w:vAlign w:val="center"/>
            <w:hideMark/>
          </w:tcPr>
          <w:p w14:paraId="18EEDAFD" w14:textId="77777777" w:rsidR="008B1D12" w:rsidRPr="008B1D12" w:rsidRDefault="008B1D12" w:rsidP="00C12CDD">
            <w:pPr>
              <w:pStyle w:val="RALs-Normal"/>
              <w:spacing w:line="320" w:lineRule="atLeast"/>
              <w:ind w:firstLine="0"/>
              <w:rPr>
                <w:szCs w:val="20"/>
              </w:rPr>
            </w:pPr>
          </w:p>
        </w:tc>
        <w:tc>
          <w:tcPr>
            <w:tcW w:w="0" w:type="auto"/>
            <w:tcMar>
              <w:top w:w="120" w:type="dxa"/>
              <w:left w:w="120" w:type="dxa"/>
              <w:bottom w:w="120" w:type="dxa"/>
              <w:right w:w="120" w:type="dxa"/>
            </w:tcMar>
            <w:vAlign w:val="center"/>
            <w:hideMark/>
          </w:tcPr>
          <w:p w14:paraId="1E53EA36" w14:textId="77777777" w:rsidR="008B1D12" w:rsidRPr="008B1D12" w:rsidRDefault="008B1D12" w:rsidP="00C12CDD">
            <w:pPr>
              <w:pStyle w:val="RALs-Normal"/>
              <w:spacing w:line="320" w:lineRule="atLeast"/>
              <w:ind w:firstLine="0"/>
              <w:rPr>
                <w:szCs w:val="20"/>
              </w:rPr>
            </w:pPr>
            <w:r w:rsidRPr="008B1D12">
              <w:rPr>
                <w:szCs w:val="20"/>
              </w:rPr>
              <w:t>Vocabulary search</w:t>
            </w:r>
          </w:p>
        </w:tc>
        <w:tc>
          <w:tcPr>
            <w:tcW w:w="0" w:type="auto"/>
            <w:tcMar>
              <w:top w:w="120" w:type="dxa"/>
              <w:left w:w="120" w:type="dxa"/>
              <w:bottom w:w="120" w:type="dxa"/>
              <w:right w:w="120" w:type="dxa"/>
            </w:tcMar>
            <w:vAlign w:val="center"/>
            <w:hideMark/>
          </w:tcPr>
          <w:p w14:paraId="144CEC57" w14:textId="77777777" w:rsidR="008B1D12" w:rsidRPr="008B1D12" w:rsidRDefault="008B1D12" w:rsidP="00C12CDD">
            <w:pPr>
              <w:pStyle w:val="RALs-Normal"/>
              <w:spacing w:line="320" w:lineRule="atLeast"/>
              <w:ind w:firstLine="0"/>
              <w:rPr>
                <w:szCs w:val="20"/>
              </w:rPr>
            </w:pPr>
            <w:r w:rsidRPr="008B1D12">
              <w:rPr>
                <w:szCs w:val="20"/>
              </w:rPr>
              <w:t>53</w:t>
            </w:r>
          </w:p>
        </w:tc>
        <w:tc>
          <w:tcPr>
            <w:tcW w:w="0" w:type="auto"/>
            <w:tcMar>
              <w:top w:w="120" w:type="dxa"/>
              <w:left w:w="120" w:type="dxa"/>
              <w:bottom w:w="120" w:type="dxa"/>
              <w:right w:w="120" w:type="dxa"/>
            </w:tcMar>
            <w:vAlign w:val="center"/>
            <w:hideMark/>
          </w:tcPr>
          <w:p w14:paraId="66138D76" w14:textId="77777777" w:rsidR="008B1D12" w:rsidRPr="008B1D12" w:rsidRDefault="008B1D12" w:rsidP="00C12CDD">
            <w:pPr>
              <w:pStyle w:val="RALs-Normal"/>
              <w:spacing w:line="320" w:lineRule="atLeast"/>
              <w:ind w:firstLine="0"/>
              <w:rPr>
                <w:szCs w:val="20"/>
              </w:rPr>
            </w:pPr>
            <w:r w:rsidRPr="008B1D12">
              <w:rPr>
                <w:szCs w:val="20"/>
              </w:rPr>
              <w:t>24.2%</w:t>
            </w:r>
          </w:p>
        </w:tc>
      </w:tr>
      <w:tr w:rsidR="008B1D12" w:rsidRPr="008B1D12" w14:paraId="60101575" w14:textId="77777777" w:rsidTr="008B1D12">
        <w:tc>
          <w:tcPr>
            <w:tcW w:w="0" w:type="auto"/>
            <w:tcMar>
              <w:top w:w="120" w:type="dxa"/>
              <w:left w:w="120" w:type="dxa"/>
              <w:bottom w:w="120" w:type="dxa"/>
              <w:right w:w="120" w:type="dxa"/>
            </w:tcMar>
            <w:vAlign w:val="center"/>
            <w:hideMark/>
          </w:tcPr>
          <w:p w14:paraId="45FEA19F" w14:textId="77777777" w:rsidR="008B1D12" w:rsidRPr="008B1D12" w:rsidRDefault="008B1D12" w:rsidP="00C12CDD">
            <w:pPr>
              <w:pStyle w:val="RALs-Normal"/>
              <w:spacing w:line="320" w:lineRule="atLeast"/>
              <w:ind w:firstLine="0"/>
              <w:rPr>
                <w:szCs w:val="20"/>
              </w:rPr>
            </w:pPr>
          </w:p>
        </w:tc>
        <w:tc>
          <w:tcPr>
            <w:tcW w:w="0" w:type="auto"/>
            <w:tcMar>
              <w:top w:w="120" w:type="dxa"/>
              <w:left w:w="120" w:type="dxa"/>
              <w:bottom w:w="120" w:type="dxa"/>
              <w:right w:w="120" w:type="dxa"/>
            </w:tcMar>
            <w:vAlign w:val="center"/>
            <w:hideMark/>
          </w:tcPr>
          <w:p w14:paraId="548B3829" w14:textId="77777777" w:rsidR="008B1D12" w:rsidRPr="008B1D12" w:rsidRDefault="008B1D12" w:rsidP="00C12CDD">
            <w:pPr>
              <w:pStyle w:val="RALs-Normal"/>
              <w:spacing w:line="320" w:lineRule="atLeast"/>
              <w:ind w:firstLine="0"/>
              <w:rPr>
                <w:szCs w:val="20"/>
              </w:rPr>
            </w:pPr>
            <w:r w:rsidRPr="008B1D12">
              <w:rPr>
                <w:szCs w:val="20"/>
              </w:rPr>
              <w:t>Idea generation</w:t>
            </w:r>
          </w:p>
        </w:tc>
        <w:tc>
          <w:tcPr>
            <w:tcW w:w="0" w:type="auto"/>
            <w:tcMar>
              <w:top w:w="120" w:type="dxa"/>
              <w:left w:w="120" w:type="dxa"/>
              <w:bottom w:w="120" w:type="dxa"/>
              <w:right w:w="120" w:type="dxa"/>
            </w:tcMar>
            <w:vAlign w:val="center"/>
            <w:hideMark/>
          </w:tcPr>
          <w:p w14:paraId="7BF67035" w14:textId="77777777" w:rsidR="008B1D12" w:rsidRPr="008B1D12" w:rsidRDefault="008B1D12" w:rsidP="00C12CDD">
            <w:pPr>
              <w:pStyle w:val="RALs-Normal"/>
              <w:spacing w:line="320" w:lineRule="atLeast"/>
              <w:ind w:firstLine="0"/>
              <w:rPr>
                <w:szCs w:val="20"/>
              </w:rPr>
            </w:pPr>
            <w:r w:rsidRPr="008B1D12">
              <w:rPr>
                <w:szCs w:val="20"/>
              </w:rPr>
              <w:t>52</w:t>
            </w:r>
          </w:p>
        </w:tc>
        <w:tc>
          <w:tcPr>
            <w:tcW w:w="0" w:type="auto"/>
            <w:tcMar>
              <w:top w:w="120" w:type="dxa"/>
              <w:left w:w="120" w:type="dxa"/>
              <w:bottom w:w="120" w:type="dxa"/>
              <w:right w:w="120" w:type="dxa"/>
            </w:tcMar>
            <w:vAlign w:val="center"/>
            <w:hideMark/>
          </w:tcPr>
          <w:p w14:paraId="383B9000" w14:textId="77777777" w:rsidR="008B1D12" w:rsidRPr="008B1D12" w:rsidRDefault="008B1D12" w:rsidP="00C12CDD">
            <w:pPr>
              <w:pStyle w:val="RALs-Normal"/>
              <w:spacing w:line="320" w:lineRule="atLeast"/>
              <w:ind w:firstLine="0"/>
              <w:rPr>
                <w:szCs w:val="20"/>
              </w:rPr>
            </w:pPr>
            <w:r w:rsidRPr="008B1D12">
              <w:rPr>
                <w:szCs w:val="20"/>
              </w:rPr>
              <w:t>23.7%</w:t>
            </w:r>
          </w:p>
        </w:tc>
      </w:tr>
      <w:tr w:rsidR="008B1D12" w:rsidRPr="008B1D12" w14:paraId="45877E7F" w14:textId="77777777" w:rsidTr="008B1D12">
        <w:tc>
          <w:tcPr>
            <w:tcW w:w="0" w:type="auto"/>
            <w:tcMar>
              <w:top w:w="120" w:type="dxa"/>
              <w:left w:w="120" w:type="dxa"/>
              <w:bottom w:w="120" w:type="dxa"/>
              <w:right w:w="120" w:type="dxa"/>
            </w:tcMar>
            <w:vAlign w:val="center"/>
            <w:hideMark/>
          </w:tcPr>
          <w:p w14:paraId="641411F4" w14:textId="77777777" w:rsidR="008B1D12" w:rsidRPr="008B1D12" w:rsidRDefault="008B1D12" w:rsidP="00C12CDD">
            <w:pPr>
              <w:pStyle w:val="RALs-Normal"/>
              <w:spacing w:line="320" w:lineRule="atLeast"/>
              <w:ind w:firstLine="0"/>
              <w:rPr>
                <w:szCs w:val="20"/>
              </w:rPr>
            </w:pPr>
          </w:p>
        </w:tc>
        <w:tc>
          <w:tcPr>
            <w:tcW w:w="0" w:type="auto"/>
            <w:tcMar>
              <w:top w:w="120" w:type="dxa"/>
              <w:left w:w="120" w:type="dxa"/>
              <w:bottom w:w="120" w:type="dxa"/>
              <w:right w:w="120" w:type="dxa"/>
            </w:tcMar>
            <w:vAlign w:val="center"/>
            <w:hideMark/>
          </w:tcPr>
          <w:p w14:paraId="71019F6B" w14:textId="77777777" w:rsidR="008B1D12" w:rsidRPr="008B1D12" w:rsidRDefault="008B1D12" w:rsidP="00C12CDD">
            <w:pPr>
              <w:pStyle w:val="RALs-Normal"/>
              <w:spacing w:line="320" w:lineRule="atLeast"/>
              <w:ind w:firstLine="0"/>
              <w:rPr>
                <w:szCs w:val="20"/>
              </w:rPr>
            </w:pPr>
            <w:r w:rsidRPr="008B1D12">
              <w:rPr>
                <w:szCs w:val="20"/>
              </w:rPr>
              <w:t>Translation</w:t>
            </w:r>
          </w:p>
        </w:tc>
        <w:tc>
          <w:tcPr>
            <w:tcW w:w="0" w:type="auto"/>
            <w:tcMar>
              <w:top w:w="120" w:type="dxa"/>
              <w:left w:w="120" w:type="dxa"/>
              <w:bottom w:w="120" w:type="dxa"/>
              <w:right w:w="120" w:type="dxa"/>
            </w:tcMar>
            <w:vAlign w:val="center"/>
            <w:hideMark/>
          </w:tcPr>
          <w:p w14:paraId="664DCDA5" w14:textId="77777777" w:rsidR="008B1D12" w:rsidRPr="008B1D12" w:rsidRDefault="008B1D12" w:rsidP="00C12CDD">
            <w:pPr>
              <w:pStyle w:val="RALs-Normal"/>
              <w:spacing w:line="320" w:lineRule="atLeast"/>
              <w:ind w:firstLine="0"/>
              <w:rPr>
                <w:szCs w:val="20"/>
              </w:rPr>
            </w:pPr>
            <w:r w:rsidRPr="008B1D12">
              <w:rPr>
                <w:szCs w:val="20"/>
              </w:rPr>
              <w:t>42</w:t>
            </w:r>
          </w:p>
        </w:tc>
        <w:tc>
          <w:tcPr>
            <w:tcW w:w="0" w:type="auto"/>
            <w:tcMar>
              <w:top w:w="120" w:type="dxa"/>
              <w:left w:w="120" w:type="dxa"/>
              <w:bottom w:w="120" w:type="dxa"/>
              <w:right w:w="120" w:type="dxa"/>
            </w:tcMar>
            <w:vAlign w:val="center"/>
            <w:hideMark/>
          </w:tcPr>
          <w:p w14:paraId="51D723DC" w14:textId="77777777" w:rsidR="008B1D12" w:rsidRPr="008B1D12" w:rsidRDefault="008B1D12" w:rsidP="00C12CDD">
            <w:pPr>
              <w:pStyle w:val="RALs-Normal"/>
              <w:spacing w:line="320" w:lineRule="atLeast"/>
              <w:ind w:firstLine="0"/>
              <w:rPr>
                <w:szCs w:val="20"/>
              </w:rPr>
            </w:pPr>
            <w:r w:rsidRPr="008B1D12">
              <w:rPr>
                <w:szCs w:val="20"/>
              </w:rPr>
              <w:t>19.2%</w:t>
            </w:r>
          </w:p>
        </w:tc>
      </w:tr>
      <w:tr w:rsidR="008B1D12" w:rsidRPr="008B1D12" w14:paraId="7D14F759" w14:textId="77777777" w:rsidTr="008B1D12">
        <w:tc>
          <w:tcPr>
            <w:tcW w:w="0" w:type="auto"/>
            <w:tcMar>
              <w:top w:w="120" w:type="dxa"/>
              <w:left w:w="120" w:type="dxa"/>
              <w:bottom w:w="120" w:type="dxa"/>
              <w:right w:w="120" w:type="dxa"/>
            </w:tcMar>
            <w:vAlign w:val="center"/>
            <w:hideMark/>
          </w:tcPr>
          <w:p w14:paraId="7A0CA43A" w14:textId="77777777" w:rsidR="008B1D12" w:rsidRPr="008B1D12" w:rsidRDefault="008B1D12" w:rsidP="00C12CDD">
            <w:pPr>
              <w:pStyle w:val="RALs-Normal"/>
              <w:spacing w:line="320" w:lineRule="atLeast"/>
              <w:ind w:firstLine="0"/>
              <w:rPr>
                <w:szCs w:val="20"/>
              </w:rPr>
            </w:pPr>
            <w:r w:rsidRPr="008B1D12">
              <w:rPr>
                <w:szCs w:val="20"/>
              </w:rPr>
              <w:t>Tool used most</w:t>
            </w:r>
          </w:p>
        </w:tc>
        <w:tc>
          <w:tcPr>
            <w:tcW w:w="0" w:type="auto"/>
            <w:tcMar>
              <w:top w:w="120" w:type="dxa"/>
              <w:left w:w="120" w:type="dxa"/>
              <w:bottom w:w="120" w:type="dxa"/>
              <w:right w:w="120" w:type="dxa"/>
            </w:tcMar>
            <w:vAlign w:val="center"/>
            <w:hideMark/>
          </w:tcPr>
          <w:p w14:paraId="520539F5" w14:textId="77777777" w:rsidR="008B1D12" w:rsidRPr="008B1D12" w:rsidRDefault="008B1D12" w:rsidP="00C12CDD">
            <w:pPr>
              <w:pStyle w:val="RALs-Normal"/>
              <w:spacing w:line="320" w:lineRule="atLeast"/>
              <w:ind w:firstLine="0"/>
              <w:rPr>
                <w:szCs w:val="20"/>
              </w:rPr>
            </w:pPr>
            <w:r w:rsidRPr="008B1D12">
              <w:rPr>
                <w:szCs w:val="20"/>
              </w:rPr>
              <w:t>ChatGPT</w:t>
            </w:r>
          </w:p>
        </w:tc>
        <w:tc>
          <w:tcPr>
            <w:tcW w:w="0" w:type="auto"/>
            <w:tcMar>
              <w:top w:w="120" w:type="dxa"/>
              <w:left w:w="120" w:type="dxa"/>
              <w:bottom w:w="120" w:type="dxa"/>
              <w:right w:w="120" w:type="dxa"/>
            </w:tcMar>
            <w:vAlign w:val="center"/>
            <w:hideMark/>
          </w:tcPr>
          <w:p w14:paraId="2D8D53A2" w14:textId="77777777" w:rsidR="008B1D12" w:rsidRPr="008B1D12" w:rsidRDefault="008B1D12" w:rsidP="00C12CDD">
            <w:pPr>
              <w:pStyle w:val="RALs-Normal"/>
              <w:spacing w:line="320" w:lineRule="atLeast"/>
              <w:ind w:firstLine="0"/>
              <w:rPr>
                <w:szCs w:val="20"/>
              </w:rPr>
            </w:pPr>
            <w:r w:rsidRPr="008B1D12">
              <w:rPr>
                <w:szCs w:val="20"/>
              </w:rPr>
              <w:t>159</w:t>
            </w:r>
          </w:p>
        </w:tc>
        <w:tc>
          <w:tcPr>
            <w:tcW w:w="0" w:type="auto"/>
            <w:tcMar>
              <w:top w:w="120" w:type="dxa"/>
              <w:left w:w="120" w:type="dxa"/>
              <w:bottom w:w="120" w:type="dxa"/>
              <w:right w:w="120" w:type="dxa"/>
            </w:tcMar>
            <w:vAlign w:val="center"/>
            <w:hideMark/>
          </w:tcPr>
          <w:p w14:paraId="21CE2959" w14:textId="77777777" w:rsidR="008B1D12" w:rsidRPr="008B1D12" w:rsidRDefault="008B1D12" w:rsidP="00C12CDD">
            <w:pPr>
              <w:pStyle w:val="RALs-Normal"/>
              <w:spacing w:line="320" w:lineRule="atLeast"/>
              <w:ind w:firstLine="0"/>
              <w:rPr>
                <w:szCs w:val="20"/>
              </w:rPr>
            </w:pPr>
            <w:r w:rsidRPr="008B1D12">
              <w:rPr>
                <w:szCs w:val="20"/>
              </w:rPr>
              <w:t>72.6%</w:t>
            </w:r>
          </w:p>
        </w:tc>
      </w:tr>
      <w:tr w:rsidR="008B1D12" w:rsidRPr="008B1D12" w14:paraId="2658D9FA" w14:textId="77777777" w:rsidTr="008B1D12">
        <w:tc>
          <w:tcPr>
            <w:tcW w:w="0" w:type="auto"/>
            <w:tcMar>
              <w:top w:w="120" w:type="dxa"/>
              <w:left w:w="120" w:type="dxa"/>
              <w:bottom w:w="120" w:type="dxa"/>
              <w:right w:w="120" w:type="dxa"/>
            </w:tcMar>
            <w:vAlign w:val="center"/>
            <w:hideMark/>
          </w:tcPr>
          <w:p w14:paraId="2861FE21" w14:textId="77777777" w:rsidR="008B1D12" w:rsidRPr="008B1D12" w:rsidRDefault="008B1D12" w:rsidP="00C12CDD">
            <w:pPr>
              <w:pStyle w:val="RALs-Normal"/>
              <w:spacing w:line="320" w:lineRule="atLeast"/>
              <w:ind w:firstLine="0"/>
              <w:rPr>
                <w:szCs w:val="20"/>
              </w:rPr>
            </w:pPr>
          </w:p>
        </w:tc>
        <w:tc>
          <w:tcPr>
            <w:tcW w:w="0" w:type="auto"/>
            <w:tcMar>
              <w:top w:w="120" w:type="dxa"/>
              <w:left w:w="120" w:type="dxa"/>
              <w:bottom w:w="120" w:type="dxa"/>
              <w:right w:w="120" w:type="dxa"/>
            </w:tcMar>
            <w:vAlign w:val="center"/>
            <w:hideMark/>
          </w:tcPr>
          <w:p w14:paraId="525F07F0" w14:textId="77777777" w:rsidR="008B1D12" w:rsidRPr="008B1D12" w:rsidRDefault="008B1D12" w:rsidP="00C12CDD">
            <w:pPr>
              <w:pStyle w:val="RALs-Normal"/>
              <w:spacing w:line="320" w:lineRule="atLeast"/>
              <w:ind w:firstLine="0"/>
              <w:rPr>
                <w:szCs w:val="20"/>
              </w:rPr>
            </w:pPr>
            <w:r w:rsidRPr="008B1D12">
              <w:rPr>
                <w:szCs w:val="20"/>
              </w:rPr>
              <w:t>Grammarly</w:t>
            </w:r>
          </w:p>
        </w:tc>
        <w:tc>
          <w:tcPr>
            <w:tcW w:w="0" w:type="auto"/>
            <w:tcMar>
              <w:top w:w="120" w:type="dxa"/>
              <w:left w:w="120" w:type="dxa"/>
              <w:bottom w:w="120" w:type="dxa"/>
              <w:right w:w="120" w:type="dxa"/>
            </w:tcMar>
            <w:vAlign w:val="center"/>
            <w:hideMark/>
          </w:tcPr>
          <w:p w14:paraId="22C054C3" w14:textId="77777777" w:rsidR="008B1D12" w:rsidRPr="008B1D12" w:rsidRDefault="008B1D12" w:rsidP="00C12CDD">
            <w:pPr>
              <w:pStyle w:val="RALs-Normal"/>
              <w:spacing w:line="320" w:lineRule="atLeast"/>
              <w:ind w:firstLine="0"/>
              <w:rPr>
                <w:szCs w:val="20"/>
              </w:rPr>
            </w:pPr>
            <w:r w:rsidRPr="008B1D12">
              <w:rPr>
                <w:szCs w:val="20"/>
              </w:rPr>
              <w:t>34</w:t>
            </w:r>
          </w:p>
        </w:tc>
        <w:tc>
          <w:tcPr>
            <w:tcW w:w="0" w:type="auto"/>
            <w:tcMar>
              <w:top w:w="120" w:type="dxa"/>
              <w:left w:w="120" w:type="dxa"/>
              <w:bottom w:w="120" w:type="dxa"/>
              <w:right w:w="120" w:type="dxa"/>
            </w:tcMar>
            <w:vAlign w:val="center"/>
            <w:hideMark/>
          </w:tcPr>
          <w:p w14:paraId="478076C2" w14:textId="77777777" w:rsidR="008B1D12" w:rsidRPr="008B1D12" w:rsidRDefault="008B1D12" w:rsidP="00C12CDD">
            <w:pPr>
              <w:pStyle w:val="RALs-Normal"/>
              <w:spacing w:line="320" w:lineRule="atLeast"/>
              <w:ind w:firstLine="0"/>
              <w:rPr>
                <w:szCs w:val="20"/>
              </w:rPr>
            </w:pPr>
            <w:r w:rsidRPr="008B1D12">
              <w:rPr>
                <w:szCs w:val="20"/>
              </w:rPr>
              <w:t>15.5%</w:t>
            </w:r>
          </w:p>
        </w:tc>
      </w:tr>
      <w:tr w:rsidR="008B1D12" w:rsidRPr="008B1D12" w14:paraId="41AD5D70" w14:textId="77777777" w:rsidTr="008B1D12">
        <w:tc>
          <w:tcPr>
            <w:tcW w:w="0" w:type="auto"/>
            <w:tcMar>
              <w:top w:w="120" w:type="dxa"/>
              <w:left w:w="120" w:type="dxa"/>
              <w:bottom w:w="120" w:type="dxa"/>
              <w:right w:w="120" w:type="dxa"/>
            </w:tcMar>
            <w:vAlign w:val="center"/>
            <w:hideMark/>
          </w:tcPr>
          <w:p w14:paraId="39AF1C12" w14:textId="77777777" w:rsidR="008B1D12" w:rsidRPr="008B1D12" w:rsidRDefault="008B1D12" w:rsidP="00C12CDD">
            <w:pPr>
              <w:pStyle w:val="RALs-Normal"/>
              <w:spacing w:line="320" w:lineRule="atLeast"/>
              <w:ind w:firstLine="0"/>
              <w:rPr>
                <w:szCs w:val="20"/>
              </w:rPr>
            </w:pPr>
          </w:p>
        </w:tc>
        <w:tc>
          <w:tcPr>
            <w:tcW w:w="0" w:type="auto"/>
            <w:tcMar>
              <w:top w:w="120" w:type="dxa"/>
              <w:left w:w="120" w:type="dxa"/>
              <w:bottom w:w="120" w:type="dxa"/>
              <w:right w:w="120" w:type="dxa"/>
            </w:tcMar>
            <w:vAlign w:val="center"/>
            <w:hideMark/>
          </w:tcPr>
          <w:p w14:paraId="0DD4A6A0" w14:textId="77777777" w:rsidR="008B1D12" w:rsidRPr="008B1D12" w:rsidRDefault="008B1D12" w:rsidP="00C12CDD">
            <w:pPr>
              <w:pStyle w:val="RALs-Normal"/>
              <w:spacing w:line="320" w:lineRule="atLeast"/>
              <w:ind w:firstLine="0"/>
              <w:rPr>
                <w:szCs w:val="20"/>
              </w:rPr>
            </w:pPr>
            <w:r w:rsidRPr="008B1D12">
              <w:rPr>
                <w:szCs w:val="20"/>
              </w:rPr>
              <w:t>Google Translate</w:t>
            </w:r>
          </w:p>
        </w:tc>
        <w:tc>
          <w:tcPr>
            <w:tcW w:w="0" w:type="auto"/>
            <w:tcMar>
              <w:top w:w="120" w:type="dxa"/>
              <w:left w:w="120" w:type="dxa"/>
              <w:bottom w:w="120" w:type="dxa"/>
              <w:right w:w="120" w:type="dxa"/>
            </w:tcMar>
            <w:vAlign w:val="center"/>
            <w:hideMark/>
          </w:tcPr>
          <w:p w14:paraId="3208F190" w14:textId="77777777" w:rsidR="008B1D12" w:rsidRPr="008B1D12" w:rsidRDefault="008B1D12" w:rsidP="00C12CDD">
            <w:pPr>
              <w:pStyle w:val="RALs-Normal"/>
              <w:spacing w:line="320" w:lineRule="atLeast"/>
              <w:ind w:firstLine="0"/>
              <w:rPr>
                <w:szCs w:val="20"/>
              </w:rPr>
            </w:pPr>
            <w:r w:rsidRPr="008B1D12">
              <w:rPr>
                <w:szCs w:val="20"/>
              </w:rPr>
              <w:t>19</w:t>
            </w:r>
          </w:p>
        </w:tc>
        <w:tc>
          <w:tcPr>
            <w:tcW w:w="0" w:type="auto"/>
            <w:tcMar>
              <w:top w:w="120" w:type="dxa"/>
              <w:left w:w="120" w:type="dxa"/>
              <w:bottom w:w="120" w:type="dxa"/>
              <w:right w:w="120" w:type="dxa"/>
            </w:tcMar>
            <w:vAlign w:val="center"/>
            <w:hideMark/>
          </w:tcPr>
          <w:p w14:paraId="1C27E5F3" w14:textId="77777777" w:rsidR="008B1D12" w:rsidRPr="008B1D12" w:rsidRDefault="008B1D12" w:rsidP="00C12CDD">
            <w:pPr>
              <w:pStyle w:val="RALs-Normal"/>
              <w:spacing w:line="320" w:lineRule="atLeast"/>
              <w:ind w:firstLine="0"/>
              <w:rPr>
                <w:szCs w:val="20"/>
              </w:rPr>
            </w:pPr>
            <w:r w:rsidRPr="008B1D12">
              <w:rPr>
                <w:szCs w:val="20"/>
              </w:rPr>
              <w:t>8.7%</w:t>
            </w:r>
          </w:p>
        </w:tc>
      </w:tr>
      <w:tr w:rsidR="008B1D12" w:rsidRPr="008B1D12" w14:paraId="671CD36A" w14:textId="77777777" w:rsidTr="008B1D12">
        <w:tc>
          <w:tcPr>
            <w:tcW w:w="0" w:type="auto"/>
            <w:tcBorders>
              <w:bottom w:val="single" w:sz="4" w:space="0" w:color="auto"/>
            </w:tcBorders>
            <w:tcMar>
              <w:top w:w="120" w:type="dxa"/>
              <w:left w:w="120" w:type="dxa"/>
              <w:bottom w:w="120" w:type="dxa"/>
              <w:right w:w="120" w:type="dxa"/>
            </w:tcMar>
            <w:vAlign w:val="center"/>
            <w:hideMark/>
          </w:tcPr>
          <w:p w14:paraId="32E67A70" w14:textId="77777777" w:rsidR="008B1D12" w:rsidRPr="008B1D12" w:rsidRDefault="008B1D12" w:rsidP="00C12CDD">
            <w:pPr>
              <w:pStyle w:val="RALs-Normal"/>
              <w:spacing w:line="320" w:lineRule="atLeast"/>
              <w:ind w:firstLine="0"/>
              <w:rPr>
                <w:szCs w:val="20"/>
              </w:rPr>
            </w:pPr>
          </w:p>
        </w:tc>
        <w:tc>
          <w:tcPr>
            <w:tcW w:w="0" w:type="auto"/>
            <w:tcBorders>
              <w:bottom w:val="single" w:sz="4" w:space="0" w:color="auto"/>
            </w:tcBorders>
            <w:tcMar>
              <w:top w:w="120" w:type="dxa"/>
              <w:left w:w="120" w:type="dxa"/>
              <w:bottom w:w="120" w:type="dxa"/>
              <w:right w:w="120" w:type="dxa"/>
            </w:tcMar>
            <w:vAlign w:val="center"/>
            <w:hideMark/>
          </w:tcPr>
          <w:p w14:paraId="4EF3F1FA" w14:textId="77777777" w:rsidR="008B1D12" w:rsidRPr="008B1D12" w:rsidRDefault="008B1D12" w:rsidP="00C12CDD">
            <w:pPr>
              <w:pStyle w:val="RALs-Normal"/>
              <w:spacing w:line="320" w:lineRule="atLeast"/>
              <w:ind w:firstLine="0"/>
              <w:rPr>
                <w:szCs w:val="20"/>
              </w:rPr>
            </w:pPr>
            <w:r w:rsidRPr="008B1D12">
              <w:rPr>
                <w:szCs w:val="20"/>
              </w:rPr>
              <w:t>Perplexity</w:t>
            </w:r>
          </w:p>
        </w:tc>
        <w:tc>
          <w:tcPr>
            <w:tcW w:w="0" w:type="auto"/>
            <w:tcBorders>
              <w:bottom w:val="single" w:sz="4" w:space="0" w:color="auto"/>
            </w:tcBorders>
            <w:tcMar>
              <w:top w:w="120" w:type="dxa"/>
              <w:left w:w="120" w:type="dxa"/>
              <w:bottom w:w="120" w:type="dxa"/>
              <w:right w:w="120" w:type="dxa"/>
            </w:tcMar>
            <w:vAlign w:val="center"/>
            <w:hideMark/>
          </w:tcPr>
          <w:p w14:paraId="7F96F51C" w14:textId="77777777" w:rsidR="008B1D12" w:rsidRPr="008B1D12" w:rsidRDefault="008B1D12" w:rsidP="00C12CDD">
            <w:pPr>
              <w:pStyle w:val="RALs-Normal"/>
              <w:spacing w:line="320" w:lineRule="atLeast"/>
              <w:ind w:firstLine="0"/>
              <w:rPr>
                <w:szCs w:val="20"/>
              </w:rPr>
            </w:pPr>
            <w:r w:rsidRPr="008B1D12">
              <w:rPr>
                <w:szCs w:val="20"/>
              </w:rPr>
              <w:t>7</w:t>
            </w:r>
          </w:p>
        </w:tc>
        <w:tc>
          <w:tcPr>
            <w:tcW w:w="0" w:type="auto"/>
            <w:tcBorders>
              <w:bottom w:val="single" w:sz="4" w:space="0" w:color="auto"/>
            </w:tcBorders>
            <w:tcMar>
              <w:top w:w="120" w:type="dxa"/>
              <w:left w:w="120" w:type="dxa"/>
              <w:bottom w:w="120" w:type="dxa"/>
              <w:right w:w="120" w:type="dxa"/>
            </w:tcMar>
            <w:vAlign w:val="center"/>
            <w:hideMark/>
          </w:tcPr>
          <w:p w14:paraId="5D462596" w14:textId="77777777" w:rsidR="008B1D12" w:rsidRPr="008B1D12" w:rsidRDefault="008B1D12" w:rsidP="00C12CDD">
            <w:pPr>
              <w:pStyle w:val="RALs-Normal"/>
              <w:spacing w:line="320" w:lineRule="atLeast"/>
              <w:ind w:firstLine="0"/>
              <w:rPr>
                <w:szCs w:val="20"/>
              </w:rPr>
            </w:pPr>
            <w:r w:rsidRPr="008B1D12">
              <w:rPr>
                <w:szCs w:val="20"/>
              </w:rPr>
              <w:t>3.2%</w:t>
            </w:r>
          </w:p>
        </w:tc>
      </w:tr>
    </w:tbl>
    <w:p w14:paraId="3476FA11" w14:textId="77777777" w:rsidR="00934F68" w:rsidRDefault="00934F68" w:rsidP="00934F68">
      <w:pPr>
        <w:pStyle w:val="RALs-Normal"/>
        <w:spacing w:before="0" w:after="120" w:line="480" w:lineRule="auto"/>
        <w:ind w:firstLine="0"/>
        <w:rPr>
          <w:i/>
          <w:iCs/>
          <w:sz w:val="24"/>
          <w:szCs w:val="24"/>
        </w:rPr>
      </w:pPr>
    </w:p>
    <w:p w14:paraId="3C53956E" w14:textId="00A426F3" w:rsidR="008B1D12" w:rsidRPr="00934F68" w:rsidRDefault="00934F68" w:rsidP="00934F68">
      <w:pPr>
        <w:pStyle w:val="RALs-Normal"/>
        <w:spacing w:before="0" w:after="120" w:line="480" w:lineRule="auto"/>
        <w:ind w:firstLine="0"/>
        <w:rPr>
          <w:sz w:val="24"/>
          <w:szCs w:val="24"/>
        </w:rPr>
      </w:pPr>
      <w:r w:rsidRPr="00934F68">
        <w:rPr>
          <w:i/>
          <w:iCs/>
          <w:sz w:val="24"/>
          <w:szCs w:val="24"/>
        </w:rPr>
        <w:t xml:space="preserve">Note. </w:t>
      </w:r>
      <w:r w:rsidRPr="00934F68">
        <w:rPr>
          <w:sz w:val="24"/>
          <w:szCs w:val="24"/>
        </w:rPr>
        <w:t>The “Main purpose” variable was a single-choice item, meaning each respondent selected only one primary purpose. Therefore, the total frequency equals 219 and the total percentage equals 100%. All frequency and percentage values in this table are based on the total sample of N = 219.</w:t>
      </w:r>
    </w:p>
    <w:p w14:paraId="7D9FE759" w14:textId="5753322D" w:rsidR="00C12CDD" w:rsidRPr="00C12CDD" w:rsidRDefault="00C12CDD" w:rsidP="00C12CDD">
      <w:pPr>
        <w:pStyle w:val="RALs-Normal"/>
        <w:spacing w:before="0" w:after="120" w:line="480" w:lineRule="auto"/>
        <w:ind w:firstLine="0"/>
        <w:rPr>
          <w:b/>
          <w:bCs/>
          <w:i/>
          <w:iCs/>
          <w:sz w:val="24"/>
          <w:szCs w:val="24"/>
        </w:rPr>
      </w:pPr>
      <w:r w:rsidRPr="00C12CDD">
        <w:rPr>
          <w:b/>
          <w:bCs/>
          <w:i/>
          <w:iCs/>
          <w:sz w:val="24"/>
          <w:szCs w:val="24"/>
        </w:rPr>
        <w:t>4.</w:t>
      </w:r>
      <w:r w:rsidR="007560FC">
        <w:rPr>
          <w:b/>
          <w:bCs/>
          <w:i/>
          <w:iCs/>
          <w:sz w:val="24"/>
          <w:szCs w:val="24"/>
        </w:rPr>
        <w:t>3</w:t>
      </w:r>
      <w:r w:rsidRPr="00C12CDD">
        <w:rPr>
          <w:b/>
          <w:bCs/>
          <w:i/>
          <w:iCs/>
          <w:sz w:val="24"/>
          <w:szCs w:val="24"/>
        </w:rPr>
        <w:t>. Students' Perceptions of AI-Supported Translation Learning</w:t>
      </w:r>
    </w:p>
    <w:p w14:paraId="188E6857" w14:textId="77777777" w:rsidR="00934F68" w:rsidRPr="00934F68" w:rsidRDefault="00934F68" w:rsidP="00934F68">
      <w:pPr>
        <w:pStyle w:val="RALs-Normal"/>
        <w:spacing w:before="0" w:after="120" w:line="480" w:lineRule="auto"/>
        <w:rPr>
          <w:sz w:val="24"/>
          <w:szCs w:val="24"/>
        </w:rPr>
      </w:pPr>
      <w:r w:rsidRPr="00934F68">
        <w:rPr>
          <w:sz w:val="24"/>
          <w:szCs w:val="24"/>
        </w:rPr>
        <w:t xml:space="preserve">The descriptive statistics for the Likert-scale items indicate that, overall, students held positive perceptions across </w:t>
      </w:r>
      <w:proofErr w:type="gramStart"/>
      <w:r w:rsidRPr="00934F68">
        <w:rPr>
          <w:sz w:val="24"/>
          <w:szCs w:val="24"/>
        </w:rPr>
        <w:t>all of</w:t>
      </w:r>
      <w:proofErr w:type="gramEnd"/>
      <w:r w:rsidRPr="00934F68">
        <w:rPr>
          <w:sz w:val="24"/>
          <w:szCs w:val="24"/>
        </w:rPr>
        <w:t xml:space="preserve"> the main dimensions of AI-supported translation learning, although the strength of these perceptions varied from one construct to another.</w:t>
      </w:r>
    </w:p>
    <w:p w14:paraId="2A458BAD" w14:textId="77777777" w:rsidR="00934F68" w:rsidRPr="00934F68" w:rsidRDefault="00934F68" w:rsidP="00934F68">
      <w:pPr>
        <w:pStyle w:val="RALs-Normal"/>
        <w:spacing w:before="0" w:after="120" w:line="480" w:lineRule="auto"/>
        <w:rPr>
          <w:sz w:val="24"/>
          <w:szCs w:val="24"/>
        </w:rPr>
      </w:pPr>
      <w:r w:rsidRPr="00934F68">
        <w:rPr>
          <w:sz w:val="24"/>
          <w:szCs w:val="24"/>
        </w:rPr>
        <w:t>Perceived Usefulness recorded the highest ratings of all constructs, with mean scores ranging narrowly from 4.15 to 4.16. Students broadly agreed that AI helped them improve translation quality, acquire vocabulary and appropriate expressions, identify grammatical and lexical errors, and complete translation tasks more effectively. Taken together, these consistently high means suggest that students perceived AI as a genuinely beneficial resource in their translation learning.</w:t>
      </w:r>
    </w:p>
    <w:p w14:paraId="490C3CEB" w14:textId="77777777" w:rsidR="00934F68" w:rsidRPr="00934F68" w:rsidRDefault="00934F68" w:rsidP="00934F68">
      <w:pPr>
        <w:pStyle w:val="RALs-Normal"/>
        <w:spacing w:before="0" w:after="120" w:line="480" w:lineRule="auto"/>
        <w:rPr>
          <w:sz w:val="24"/>
          <w:szCs w:val="24"/>
        </w:rPr>
      </w:pPr>
      <w:r w:rsidRPr="00934F68">
        <w:rPr>
          <w:sz w:val="24"/>
          <w:szCs w:val="24"/>
        </w:rPr>
        <w:t xml:space="preserve">Turning to Perceived Ease of Use, the means were slightly lower but still high, ranging from 3.93 to 4.15. In general, students agreed that AI tools were easy to operate and that they could learn to use them for translation tasks without much difficulty. Notably, the item "I feel confident when using AI in translation learning" had the lowest </w:t>
      </w:r>
      <w:proofErr w:type="gramStart"/>
      <w:r w:rsidRPr="00934F68">
        <w:rPr>
          <w:sz w:val="24"/>
          <w:szCs w:val="24"/>
        </w:rPr>
        <w:t>mean</w:t>
      </w:r>
      <w:proofErr w:type="gramEnd"/>
      <w:r w:rsidRPr="00934F68">
        <w:rPr>
          <w:sz w:val="24"/>
          <w:szCs w:val="24"/>
        </w:rPr>
        <w:t xml:space="preserve"> in this group (M = 3.93), </w:t>
      </w:r>
      <w:r w:rsidRPr="00934F68">
        <w:rPr>
          <w:sz w:val="24"/>
          <w:szCs w:val="24"/>
        </w:rPr>
        <w:lastRenderedPageBreak/>
        <w:t>suggesting that while AI is broadly perceived as accessible, a proportion of students may still benefit from additional guidance or training to fully build their confidence.</w:t>
      </w:r>
    </w:p>
    <w:p w14:paraId="7589F1BD" w14:textId="77777777" w:rsidR="00934F68" w:rsidRPr="00934F68" w:rsidRDefault="00934F68" w:rsidP="00934F68">
      <w:pPr>
        <w:pStyle w:val="RALs-Normal"/>
        <w:spacing w:before="0" w:after="120" w:line="480" w:lineRule="auto"/>
        <w:rPr>
          <w:sz w:val="24"/>
          <w:szCs w:val="24"/>
        </w:rPr>
      </w:pPr>
      <w:r w:rsidRPr="00934F68">
        <w:rPr>
          <w:sz w:val="24"/>
          <w:szCs w:val="24"/>
        </w:rPr>
        <w:t>Ratings for Teacher AI Integration spanned a somewhat wider range, from 3.96 to 4.33. Students reported that their teachers explained AI use clearly, incorporated AI appropriately into lessons, encouraged translation-comparison activities, and advised them on when to rely on AI and when to avoid it. The highest-rated item in the whole questionnaire, "My teacher helps students understand when they should and should not rely on AI" (M = 4.33), underscores the central role of teacher mediation in shaping responsible AI use.</w:t>
      </w:r>
    </w:p>
    <w:p w14:paraId="480BCEDB" w14:textId="77777777" w:rsidR="00934F68" w:rsidRPr="00934F68" w:rsidRDefault="00934F68" w:rsidP="00934F68">
      <w:pPr>
        <w:pStyle w:val="RALs-Normal"/>
        <w:spacing w:before="0" w:after="120" w:line="480" w:lineRule="auto"/>
        <w:rPr>
          <w:sz w:val="24"/>
          <w:szCs w:val="24"/>
        </w:rPr>
      </w:pPr>
      <w:r w:rsidRPr="00934F68">
        <w:rPr>
          <w:sz w:val="24"/>
          <w:szCs w:val="24"/>
        </w:rPr>
        <w:t xml:space="preserve">Self-Regulated Learning also attracted high ratings, with means ranging from 3.90 to 4.17. Across the items, students reported setting goals before using AI, planning their use of AI for </w:t>
      </w:r>
      <w:proofErr w:type="gramStart"/>
      <w:r w:rsidRPr="00934F68">
        <w:rPr>
          <w:sz w:val="24"/>
          <w:szCs w:val="24"/>
        </w:rPr>
        <w:t>particular tasks</w:t>
      </w:r>
      <w:proofErr w:type="gramEnd"/>
      <w:r w:rsidRPr="00934F68">
        <w:rPr>
          <w:sz w:val="24"/>
          <w:szCs w:val="24"/>
        </w:rPr>
        <w:t>, monitoring whether AI suggestions were appropriate, checking AI-generated outputs before accepting them, reflecting after use, and evaluating what AI had contributed to their learning. These responses indicate that many students engaged with AI in ways that support metacognitive awareness, rather than relying on it for purely passive copying.</w:t>
      </w:r>
    </w:p>
    <w:p w14:paraId="4D7C390B" w14:textId="080B7051" w:rsidR="00C12CDD" w:rsidRPr="00C12CDD" w:rsidRDefault="00934F68" w:rsidP="00934F68">
      <w:pPr>
        <w:pStyle w:val="RALs-Normal"/>
        <w:spacing w:before="0" w:after="120" w:line="480" w:lineRule="auto"/>
        <w:rPr>
          <w:sz w:val="24"/>
          <w:szCs w:val="24"/>
        </w:rPr>
      </w:pPr>
      <w:r w:rsidRPr="00934F68">
        <w:rPr>
          <w:sz w:val="24"/>
          <w:szCs w:val="24"/>
        </w:rPr>
        <w:t xml:space="preserve">By contrast, Concerns and Overdependence produced more moderate and more varied ratings, with means ranging from 3.59 to 4.03. The item "I sometimes depend too much on AI when doing translation tasks" received the highest </w:t>
      </w:r>
      <w:proofErr w:type="gramStart"/>
      <w:r w:rsidRPr="00934F68">
        <w:rPr>
          <w:sz w:val="24"/>
          <w:szCs w:val="24"/>
        </w:rPr>
        <w:t>mean</w:t>
      </w:r>
      <w:proofErr w:type="gramEnd"/>
      <w:r w:rsidRPr="00934F68">
        <w:rPr>
          <w:sz w:val="24"/>
          <w:szCs w:val="24"/>
        </w:rPr>
        <w:t xml:space="preserve"> in this group (M = 4.03), which points to a </w:t>
      </w:r>
      <w:proofErr w:type="gramStart"/>
      <w:r w:rsidRPr="00934F68">
        <w:rPr>
          <w:sz w:val="24"/>
          <w:szCs w:val="24"/>
        </w:rPr>
        <w:t>fairly widespread</w:t>
      </w:r>
      <w:proofErr w:type="gramEnd"/>
      <w:r w:rsidRPr="00934F68">
        <w:rPr>
          <w:sz w:val="24"/>
          <w:szCs w:val="24"/>
        </w:rPr>
        <w:t xml:space="preserve"> awareness of over-reliance. Items concerning reduced independent thinking and the uncritical acceptance of AI suggestions also recorded moderately high means; however, their larger standard deviations indicate more divided responses among students. </w:t>
      </w:r>
      <w:proofErr w:type="gramStart"/>
      <w:r w:rsidRPr="00934F68">
        <w:rPr>
          <w:sz w:val="24"/>
          <w:szCs w:val="24"/>
        </w:rPr>
        <w:t>Taken</w:t>
      </w:r>
      <w:proofErr w:type="gramEnd"/>
      <w:r w:rsidRPr="00934F68">
        <w:rPr>
          <w:sz w:val="24"/>
          <w:szCs w:val="24"/>
        </w:rPr>
        <w:t xml:space="preserve"> together, the descriptive results reveal a consistent dual pattern: students clearly value AI’s pedagogical benefits and ease of access, yet at the same time they recognise tangible risks associated with dependence and reduced cognitive effort.</w:t>
      </w:r>
    </w:p>
    <w:p w14:paraId="649B51CD" w14:textId="24E752A3" w:rsidR="00C12CDD" w:rsidRPr="00C12CDD" w:rsidRDefault="00C12CDD" w:rsidP="00C12CDD">
      <w:pPr>
        <w:pStyle w:val="RALs-Normal"/>
        <w:spacing w:before="0" w:after="120" w:line="480" w:lineRule="auto"/>
        <w:ind w:firstLine="0"/>
        <w:rPr>
          <w:b/>
          <w:bCs/>
          <w:i/>
          <w:iCs/>
          <w:sz w:val="24"/>
          <w:szCs w:val="24"/>
        </w:rPr>
      </w:pPr>
      <w:r w:rsidRPr="00C12CDD">
        <w:rPr>
          <w:b/>
          <w:bCs/>
          <w:i/>
          <w:iCs/>
          <w:sz w:val="24"/>
          <w:szCs w:val="24"/>
        </w:rPr>
        <w:t>4.</w:t>
      </w:r>
      <w:r w:rsidR="007560FC">
        <w:rPr>
          <w:b/>
          <w:bCs/>
          <w:i/>
          <w:iCs/>
          <w:sz w:val="24"/>
          <w:szCs w:val="24"/>
        </w:rPr>
        <w:t>4</w:t>
      </w:r>
      <w:r w:rsidRPr="00C12CDD">
        <w:rPr>
          <w:b/>
          <w:bCs/>
          <w:i/>
          <w:iCs/>
          <w:sz w:val="24"/>
          <w:szCs w:val="24"/>
        </w:rPr>
        <w:t>. Reliability and Factor Structure</w:t>
      </w:r>
    </w:p>
    <w:p w14:paraId="359E248D" w14:textId="7C5ADCCE" w:rsidR="00C12CDD" w:rsidRPr="00C12CDD" w:rsidRDefault="00934F68" w:rsidP="00C12CDD">
      <w:pPr>
        <w:pStyle w:val="RALs-Normal"/>
        <w:spacing w:before="0" w:after="120" w:line="480" w:lineRule="auto"/>
        <w:rPr>
          <w:sz w:val="24"/>
          <w:szCs w:val="24"/>
        </w:rPr>
      </w:pPr>
      <w:r w:rsidRPr="00934F68">
        <w:rPr>
          <w:sz w:val="24"/>
          <w:szCs w:val="24"/>
        </w:rPr>
        <w:lastRenderedPageBreak/>
        <w:t>The exploratory factor analysis extracted four factors, which together accounted for 73.526% of the total variance, a figure that comfortably exceeds the recommended 50% threshold. In the rotated component matrix, each item loaded clearly onto a single factor, with no substantial cross-</w:t>
      </w:r>
      <w:proofErr w:type="gramStart"/>
      <w:r w:rsidRPr="00934F68">
        <w:rPr>
          <w:sz w:val="24"/>
          <w:szCs w:val="24"/>
        </w:rPr>
        <w:t>loadings</w:t>
      </w:r>
      <w:proofErr w:type="gramEnd"/>
      <w:r w:rsidRPr="00934F68">
        <w:rPr>
          <w:sz w:val="24"/>
          <w:szCs w:val="24"/>
        </w:rPr>
        <w:t>. As summarised in Table 4, however, the resulting structure departed from the initial five-construct model in one important respect: the items originally designed to measure Perceived Usefulness and Self-Regulated Learning converged onto a single factor, which was labelled AI Learning Engagement (ALE). The remaining three factors – Teacher AI Integration (TAI), Cognitive Overreliance (CO), and Perceived Ease of Use (PEOU) – retained the individual structures originally hypothesised.</w:t>
      </w:r>
    </w:p>
    <w:p w14:paraId="1F5DACF5" w14:textId="3A8B17F6" w:rsidR="00C12CDD" w:rsidRPr="00C12CDD" w:rsidRDefault="00C12CDD" w:rsidP="00C12CDD">
      <w:pPr>
        <w:pStyle w:val="Caption"/>
        <w:keepNext/>
        <w:ind w:firstLine="0"/>
        <w:jc w:val="left"/>
        <w:rPr>
          <w:color w:val="000000" w:themeColor="text1"/>
          <w:sz w:val="20"/>
          <w:szCs w:val="20"/>
        </w:rPr>
      </w:pPr>
      <w:r w:rsidRPr="0077143C">
        <w:rPr>
          <w:b/>
          <w:bCs/>
          <w:i w:val="0"/>
          <w:iCs w:val="0"/>
          <w:color w:val="000000" w:themeColor="text1"/>
          <w:sz w:val="24"/>
          <w:szCs w:val="24"/>
        </w:rPr>
        <w:t xml:space="preserve">Table </w:t>
      </w:r>
      <w:r w:rsidRPr="0077143C">
        <w:rPr>
          <w:b/>
          <w:bCs/>
          <w:i w:val="0"/>
          <w:iCs w:val="0"/>
          <w:color w:val="000000" w:themeColor="text1"/>
          <w:sz w:val="24"/>
          <w:szCs w:val="24"/>
        </w:rPr>
        <w:fldChar w:fldCharType="begin"/>
      </w:r>
      <w:r w:rsidRPr="0077143C">
        <w:rPr>
          <w:b/>
          <w:bCs/>
          <w:i w:val="0"/>
          <w:iCs w:val="0"/>
          <w:color w:val="000000" w:themeColor="text1"/>
          <w:sz w:val="24"/>
          <w:szCs w:val="24"/>
        </w:rPr>
        <w:instrText xml:space="preserve"> SEQ Table \* ARABIC </w:instrText>
      </w:r>
      <w:r w:rsidRPr="0077143C">
        <w:rPr>
          <w:b/>
          <w:bCs/>
          <w:i w:val="0"/>
          <w:iCs w:val="0"/>
          <w:color w:val="000000" w:themeColor="text1"/>
          <w:sz w:val="24"/>
          <w:szCs w:val="24"/>
        </w:rPr>
        <w:fldChar w:fldCharType="separate"/>
      </w:r>
      <w:r w:rsidR="00934F68">
        <w:rPr>
          <w:b/>
          <w:bCs/>
          <w:i w:val="0"/>
          <w:iCs w:val="0"/>
          <w:noProof/>
          <w:color w:val="000000" w:themeColor="text1"/>
          <w:sz w:val="24"/>
          <w:szCs w:val="24"/>
        </w:rPr>
        <w:t>4</w:t>
      </w:r>
      <w:r w:rsidRPr="0077143C">
        <w:rPr>
          <w:b/>
          <w:bCs/>
          <w:i w:val="0"/>
          <w:iCs w:val="0"/>
          <w:color w:val="000000" w:themeColor="text1"/>
          <w:sz w:val="24"/>
          <w:szCs w:val="24"/>
        </w:rPr>
        <w:fldChar w:fldCharType="end"/>
      </w:r>
      <w:r w:rsidRPr="0077143C">
        <w:rPr>
          <w:color w:val="000000" w:themeColor="text1"/>
          <w:sz w:val="24"/>
          <w:szCs w:val="24"/>
        </w:rPr>
        <w:br/>
      </w:r>
      <w:r w:rsidR="00934F68" w:rsidRPr="00934F68">
        <w:rPr>
          <w:color w:val="000000" w:themeColor="text1"/>
          <w:sz w:val="24"/>
          <w:szCs w:val="24"/>
        </w:rPr>
        <w:t>Empirical Factor Structure After EFA</w:t>
      </w:r>
    </w:p>
    <w:tbl>
      <w:tblPr>
        <w:tblW w:w="5000" w:type="pct"/>
        <w:tblCellMar>
          <w:top w:w="15" w:type="dxa"/>
          <w:left w:w="15" w:type="dxa"/>
          <w:bottom w:w="15" w:type="dxa"/>
          <w:right w:w="15" w:type="dxa"/>
        </w:tblCellMar>
        <w:tblLook w:val="04A0" w:firstRow="1" w:lastRow="0" w:firstColumn="1" w:lastColumn="0" w:noHBand="0" w:noVBand="1"/>
      </w:tblPr>
      <w:tblGrid>
        <w:gridCol w:w="807"/>
        <w:gridCol w:w="2833"/>
        <w:gridCol w:w="718"/>
        <w:gridCol w:w="2728"/>
        <w:gridCol w:w="1940"/>
      </w:tblGrid>
      <w:tr w:rsidR="00934F68" w:rsidRPr="004A7047" w14:paraId="141E03CA" w14:textId="77777777" w:rsidTr="00E1296B">
        <w:trPr>
          <w:tblHeader/>
        </w:trPr>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5BA7BC17" w14:textId="77777777" w:rsidR="00934F68" w:rsidRPr="004A7047" w:rsidRDefault="00934F68" w:rsidP="00934F68">
            <w:pPr>
              <w:spacing w:line="320" w:lineRule="atLeast"/>
              <w:ind w:firstLine="0"/>
              <w:jc w:val="left"/>
              <w:rPr>
                <w:rFonts w:cs="Times New Roman"/>
                <w:b/>
                <w:bCs/>
                <w:szCs w:val="20"/>
              </w:rPr>
            </w:pPr>
            <w:r>
              <w:rPr>
                <w:rFonts w:cs="Times New Roman"/>
                <w:b/>
                <w:bCs/>
                <w:szCs w:val="20"/>
              </w:rPr>
              <w:t>Factor</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4CE7A2D5" w14:textId="77777777" w:rsidR="00934F68" w:rsidRPr="004A7047" w:rsidRDefault="00934F68" w:rsidP="00934F68">
            <w:pPr>
              <w:spacing w:line="320" w:lineRule="atLeast"/>
              <w:ind w:firstLine="0"/>
              <w:jc w:val="left"/>
              <w:rPr>
                <w:rFonts w:cs="Times New Roman"/>
                <w:b/>
                <w:bCs/>
                <w:szCs w:val="20"/>
              </w:rPr>
            </w:pPr>
            <w:r>
              <w:rPr>
                <w:rFonts w:cs="Times New Roman"/>
                <w:b/>
                <w:bCs/>
                <w:szCs w:val="20"/>
              </w:rPr>
              <w:t>Label</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6D5EB578" w14:textId="77777777" w:rsidR="00934F68" w:rsidRPr="004A7047" w:rsidRDefault="00934F68" w:rsidP="00934F68">
            <w:pPr>
              <w:spacing w:line="320" w:lineRule="atLeast"/>
              <w:ind w:firstLine="0"/>
              <w:jc w:val="left"/>
              <w:rPr>
                <w:rFonts w:cs="Times New Roman"/>
                <w:b/>
                <w:bCs/>
                <w:szCs w:val="20"/>
              </w:rPr>
            </w:pPr>
            <w:r>
              <w:rPr>
                <w:rFonts w:cs="Times New Roman"/>
                <w:b/>
                <w:bCs/>
                <w:szCs w:val="20"/>
              </w:rPr>
              <w:t>Items</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6564B29B" w14:textId="77777777" w:rsidR="00934F68" w:rsidRPr="004A7047" w:rsidRDefault="00934F68" w:rsidP="00934F68">
            <w:pPr>
              <w:spacing w:line="320" w:lineRule="atLeast"/>
              <w:ind w:firstLine="0"/>
              <w:jc w:val="left"/>
              <w:rPr>
                <w:rFonts w:cs="Times New Roman"/>
                <w:b/>
                <w:bCs/>
                <w:szCs w:val="20"/>
              </w:rPr>
            </w:pPr>
            <w:r>
              <w:rPr>
                <w:rFonts w:cs="Times New Roman"/>
                <w:b/>
                <w:bCs/>
                <w:szCs w:val="20"/>
              </w:rPr>
              <w:t>Variance Explained (rotated)</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6324C171" w14:textId="77777777" w:rsidR="00934F68" w:rsidRPr="004A7047" w:rsidRDefault="00934F68" w:rsidP="00934F68">
            <w:pPr>
              <w:spacing w:line="320" w:lineRule="atLeast"/>
              <w:ind w:firstLine="0"/>
              <w:jc w:val="left"/>
              <w:rPr>
                <w:rFonts w:cs="Times New Roman"/>
                <w:b/>
                <w:bCs/>
                <w:szCs w:val="20"/>
              </w:rPr>
            </w:pPr>
            <w:r>
              <w:rPr>
                <w:rFonts w:cs="Times New Roman"/>
                <w:b/>
                <w:bCs/>
                <w:szCs w:val="20"/>
              </w:rPr>
              <w:t>Original Constructs</w:t>
            </w:r>
          </w:p>
        </w:tc>
      </w:tr>
      <w:tr w:rsidR="00934F68" w:rsidRPr="004A7047" w14:paraId="62533936" w14:textId="77777777" w:rsidTr="00E1296B">
        <w:tc>
          <w:tcPr>
            <w:tcW w:w="0" w:type="auto"/>
            <w:tcBorders>
              <w:top w:val="single" w:sz="4" w:space="0" w:color="auto"/>
            </w:tcBorders>
            <w:tcMar>
              <w:top w:w="120" w:type="dxa"/>
              <w:left w:w="120" w:type="dxa"/>
              <w:bottom w:w="120" w:type="dxa"/>
              <w:right w:w="120" w:type="dxa"/>
            </w:tcMar>
            <w:vAlign w:val="center"/>
            <w:hideMark/>
          </w:tcPr>
          <w:p w14:paraId="5E8419E6" w14:textId="77777777" w:rsidR="00934F68" w:rsidRPr="004A7047" w:rsidRDefault="00934F68" w:rsidP="00934F68">
            <w:pPr>
              <w:spacing w:line="320" w:lineRule="atLeast"/>
              <w:ind w:firstLine="0"/>
              <w:jc w:val="left"/>
              <w:rPr>
                <w:rFonts w:cs="Times New Roman"/>
                <w:szCs w:val="20"/>
              </w:rPr>
            </w:pPr>
            <w:r>
              <w:rPr>
                <w:rFonts w:cs="Times New Roman"/>
                <w:szCs w:val="20"/>
              </w:rPr>
              <w:t>F1</w:t>
            </w:r>
          </w:p>
        </w:tc>
        <w:tc>
          <w:tcPr>
            <w:tcW w:w="0" w:type="auto"/>
            <w:tcBorders>
              <w:top w:val="single" w:sz="4" w:space="0" w:color="auto"/>
            </w:tcBorders>
            <w:tcMar>
              <w:top w:w="120" w:type="dxa"/>
              <w:left w:w="120" w:type="dxa"/>
              <w:bottom w:w="120" w:type="dxa"/>
              <w:right w:w="120" w:type="dxa"/>
            </w:tcMar>
            <w:vAlign w:val="center"/>
            <w:hideMark/>
          </w:tcPr>
          <w:p w14:paraId="0CE26B44" w14:textId="77777777" w:rsidR="00934F68" w:rsidRPr="004A7047" w:rsidRDefault="00934F68" w:rsidP="00934F68">
            <w:pPr>
              <w:spacing w:line="320" w:lineRule="atLeast"/>
              <w:ind w:firstLine="0"/>
              <w:jc w:val="left"/>
              <w:rPr>
                <w:rFonts w:cs="Times New Roman"/>
                <w:szCs w:val="20"/>
              </w:rPr>
            </w:pPr>
            <w:r>
              <w:rPr>
                <w:rFonts w:cs="Times New Roman"/>
                <w:szCs w:val="20"/>
              </w:rPr>
              <w:t>AI Learning Engagement (ALE)</w:t>
            </w:r>
          </w:p>
        </w:tc>
        <w:tc>
          <w:tcPr>
            <w:tcW w:w="0" w:type="auto"/>
            <w:tcBorders>
              <w:top w:val="single" w:sz="4" w:space="0" w:color="auto"/>
            </w:tcBorders>
            <w:tcMar>
              <w:top w:w="120" w:type="dxa"/>
              <w:left w:w="120" w:type="dxa"/>
              <w:bottom w:w="120" w:type="dxa"/>
              <w:right w:w="120" w:type="dxa"/>
            </w:tcMar>
            <w:vAlign w:val="center"/>
            <w:hideMark/>
          </w:tcPr>
          <w:p w14:paraId="6539D9F5" w14:textId="77777777" w:rsidR="00934F68" w:rsidRPr="004A7047" w:rsidRDefault="00934F68" w:rsidP="00934F68">
            <w:pPr>
              <w:spacing w:line="320" w:lineRule="atLeast"/>
              <w:ind w:firstLine="0"/>
              <w:jc w:val="left"/>
              <w:rPr>
                <w:rFonts w:cs="Times New Roman"/>
                <w:szCs w:val="20"/>
              </w:rPr>
            </w:pPr>
            <w:r>
              <w:rPr>
                <w:rFonts w:cs="Times New Roman"/>
                <w:szCs w:val="20"/>
              </w:rPr>
              <w:t>10</w:t>
            </w:r>
          </w:p>
        </w:tc>
        <w:tc>
          <w:tcPr>
            <w:tcW w:w="0" w:type="auto"/>
            <w:tcBorders>
              <w:top w:val="single" w:sz="4" w:space="0" w:color="auto"/>
            </w:tcBorders>
            <w:tcMar>
              <w:top w:w="120" w:type="dxa"/>
              <w:left w:w="120" w:type="dxa"/>
              <w:bottom w:w="120" w:type="dxa"/>
              <w:right w:w="120" w:type="dxa"/>
            </w:tcMar>
            <w:vAlign w:val="center"/>
            <w:hideMark/>
          </w:tcPr>
          <w:p w14:paraId="776B6611" w14:textId="77777777" w:rsidR="00934F68" w:rsidRPr="004A7047" w:rsidRDefault="00934F68" w:rsidP="00934F68">
            <w:pPr>
              <w:spacing w:line="320" w:lineRule="atLeast"/>
              <w:ind w:firstLine="0"/>
              <w:jc w:val="left"/>
              <w:rPr>
                <w:rFonts w:cs="Times New Roman"/>
                <w:szCs w:val="20"/>
              </w:rPr>
            </w:pPr>
            <w:r>
              <w:rPr>
                <w:rFonts w:cs="Times New Roman"/>
                <w:szCs w:val="20"/>
              </w:rPr>
              <w:t>26.373%</w:t>
            </w:r>
          </w:p>
        </w:tc>
        <w:tc>
          <w:tcPr>
            <w:tcW w:w="0" w:type="auto"/>
            <w:tcBorders>
              <w:top w:val="single" w:sz="4" w:space="0" w:color="auto"/>
            </w:tcBorders>
            <w:tcMar>
              <w:top w:w="120" w:type="dxa"/>
              <w:left w:w="120" w:type="dxa"/>
              <w:bottom w:w="120" w:type="dxa"/>
              <w:right w:w="120" w:type="dxa"/>
            </w:tcMar>
            <w:vAlign w:val="center"/>
            <w:hideMark/>
          </w:tcPr>
          <w:p w14:paraId="6E3780C0" w14:textId="77777777" w:rsidR="00934F68" w:rsidRPr="004A7047" w:rsidRDefault="00934F68" w:rsidP="00934F68">
            <w:pPr>
              <w:spacing w:line="320" w:lineRule="atLeast"/>
              <w:ind w:firstLine="0"/>
              <w:jc w:val="left"/>
              <w:rPr>
                <w:rFonts w:cs="Times New Roman"/>
                <w:szCs w:val="20"/>
              </w:rPr>
            </w:pPr>
            <w:r>
              <w:rPr>
                <w:rFonts w:cs="Times New Roman"/>
                <w:szCs w:val="20"/>
              </w:rPr>
              <w:t>PU + SRL merged</w:t>
            </w:r>
          </w:p>
        </w:tc>
      </w:tr>
      <w:tr w:rsidR="00934F68" w:rsidRPr="004A7047" w14:paraId="432DC5B9" w14:textId="77777777" w:rsidTr="00E1296B">
        <w:tc>
          <w:tcPr>
            <w:tcW w:w="0" w:type="auto"/>
            <w:tcMar>
              <w:top w:w="120" w:type="dxa"/>
              <w:left w:w="120" w:type="dxa"/>
              <w:bottom w:w="120" w:type="dxa"/>
              <w:right w:w="120" w:type="dxa"/>
            </w:tcMar>
            <w:vAlign w:val="center"/>
            <w:hideMark/>
          </w:tcPr>
          <w:p w14:paraId="2DC6C960" w14:textId="77777777" w:rsidR="00934F68" w:rsidRPr="004A7047" w:rsidRDefault="00934F68" w:rsidP="00934F68">
            <w:pPr>
              <w:spacing w:line="320" w:lineRule="atLeast"/>
              <w:ind w:firstLine="0"/>
              <w:jc w:val="left"/>
              <w:rPr>
                <w:rFonts w:cs="Times New Roman"/>
                <w:szCs w:val="20"/>
              </w:rPr>
            </w:pPr>
            <w:r>
              <w:rPr>
                <w:rFonts w:cs="Times New Roman"/>
                <w:szCs w:val="20"/>
              </w:rPr>
              <w:t>F2</w:t>
            </w:r>
          </w:p>
        </w:tc>
        <w:tc>
          <w:tcPr>
            <w:tcW w:w="0" w:type="auto"/>
            <w:tcMar>
              <w:top w:w="120" w:type="dxa"/>
              <w:left w:w="120" w:type="dxa"/>
              <w:bottom w:w="120" w:type="dxa"/>
              <w:right w:w="120" w:type="dxa"/>
            </w:tcMar>
            <w:vAlign w:val="center"/>
            <w:hideMark/>
          </w:tcPr>
          <w:p w14:paraId="3E282BE9" w14:textId="77777777" w:rsidR="00934F68" w:rsidRPr="004A7047" w:rsidRDefault="00934F68" w:rsidP="00934F68">
            <w:pPr>
              <w:spacing w:line="320" w:lineRule="atLeast"/>
              <w:ind w:firstLine="0"/>
              <w:jc w:val="left"/>
              <w:rPr>
                <w:rFonts w:cs="Times New Roman"/>
                <w:szCs w:val="20"/>
              </w:rPr>
            </w:pPr>
            <w:r>
              <w:rPr>
                <w:rFonts w:cs="Times New Roman"/>
                <w:szCs w:val="20"/>
              </w:rPr>
              <w:t>Teacher AI Integration (TAI)</w:t>
            </w:r>
          </w:p>
        </w:tc>
        <w:tc>
          <w:tcPr>
            <w:tcW w:w="0" w:type="auto"/>
            <w:tcMar>
              <w:top w:w="120" w:type="dxa"/>
              <w:left w:w="120" w:type="dxa"/>
              <w:bottom w:w="120" w:type="dxa"/>
              <w:right w:w="120" w:type="dxa"/>
            </w:tcMar>
            <w:vAlign w:val="center"/>
            <w:hideMark/>
          </w:tcPr>
          <w:p w14:paraId="262960CA" w14:textId="77777777" w:rsidR="00934F68" w:rsidRPr="004A7047" w:rsidRDefault="00934F68" w:rsidP="00934F68">
            <w:pPr>
              <w:spacing w:line="320" w:lineRule="atLeast"/>
              <w:ind w:firstLine="0"/>
              <w:jc w:val="left"/>
              <w:rPr>
                <w:rFonts w:cs="Times New Roman"/>
                <w:szCs w:val="20"/>
              </w:rPr>
            </w:pPr>
            <w:r>
              <w:rPr>
                <w:rFonts w:cs="Times New Roman"/>
                <w:szCs w:val="20"/>
              </w:rPr>
              <w:t>5</w:t>
            </w:r>
          </w:p>
        </w:tc>
        <w:tc>
          <w:tcPr>
            <w:tcW w:w="0" w:type="auto"/>
            <w:tcMar>
              <w:top w:w="120" w:type="dxa"/>
              <w:left w:w="120" w:type="dxa"/>
              <w:bottom w:w="120" w:type="dxa"/>
              <w:right w:w="120" w:type="dxa"/>
            </w:tcMar>
            <w:vAlign w:val="center"/>
            <w:hideMark/>
          </w:tcPr>
          <w:p w14:paraId="1C72E260" w14:textId="77777777" w:rsidR="00934F68" w:rsidRPr="004A7047" w:rsidRDefault="00934F68" w:rsidP="00934F68">
            <w:pPr>
              <w:spacing w:line="320" w:lineRule="atLeast"/>
              <w:ind w:firstLine="0"/>
              <w:jc w:val="left"/>
              <w:rPr>
                <w:rFonts w:cs="Times New Roman"/>
                <w:szCs w:val="20"/>
              </w:rPr>
            </w:pPr>
            <w:r>
              <w:rPr>
                <w:rFonts w:cs="Times New Roman"/>
                <w:szCs w:val="20"/>
              </w:rPr>
              <w:t>17.021%</w:t>
            </w:r>
          </w:p>
        </w:tc>
        <w:tc>
          <w:tcPr>
            <w:tcW w:w="0" w:type="auto"/>
            <w:tcMar>
              <w:top w:w="120" w:type="dxa"/>
              <w:left w:w="120" w:type="dxa"/>
              <w:bottom w:w="120" w:type="dxa"/>
              <w:right w:w="120" w:type="dxa"/>
            </w:tcMar>
            <w:vAlign w:val="center"/>
            <w:hideMark/>
          </w:tcPr>
          <w:p w14:paraId="7E63512A" w14:textId="77777777" w:rsidR="00934F68" w:rsidRPr="004A7047" w:rsidRDefault="00934F68" w:rsidP="00934F68">
            <w:pPr>
              <w:spacing w:line="320" w:lineRule="atLeast"/>
              <w:ind w:firstLine="0"/>
              <w:jc w:val="left"/>
              <w:rPr>
                <w:rFonts w:cs="Times New Roman"/>
                <w:szCs w:val="20"/>
              </w:rPr>
            </w:pPr>
            <w:r>
              <w:rPr>
                <w:rFonts w:cs="Times New Roman"/>
                <w:szCs w:val="20"/>
              </w:rPr>
              <w:t>TAI retained</w:t>
            </w:r>
          </w:p>
        </w:tc>
      </w:tr>
      <w:tr w:rsidR="00934F68" w:rsidRPr="004A7047" w14:paraId="5B433F67" w14:textId="77777777" w:rsidTr="00E1296B">
        <w:tc>
          <w:tcPr>
            <w:tcW w:w="0" w:type="auto"/>
            <w:tcMar>
              <w:top w:w="120" w:type="dxa"/>
              <w:left w:w="120" w:type="dxa"/>
              <w:bottom w:w="120" w:type="dxa"/>
              <w:right w:w="120" w:type="dxa"/>
            </w:tcMar>
            <w:vAlign w:val="center"/>
            <w:hideMark/>
          </w:tcPr>
          <w:p w14:paraId="4E0721A6" w14:textId="77777777" w:rsidR="00934F68" w:rsidRPr="004A7047" w:rsidRDefault="00934F68" w:rsidP="00934F68">
            <w:pPr>
              <w:spacing w:line="320" w:lineRule="atLeast"/>
              <w:ind w:firstLine="0"/>
              <w:jc w:val="left"/>
              <w:rPr>
                <w:rFonts w:cs="Times New Roman"/>
                <w:szCs w:val="20"/>
              </w:rPr>
            </w:pPr>
            <w:r>
              <w:rPr>
                <w:rFonts w:cs="Times New Roman"/>
                <w:szCs w:val="20"/>
              </w:rPr>
              <w:t>F3</w:t>
            </w:r>
          </w:p>
        </w:tc>
        <w:tc>
          <w:tcPr>
            <w:tcW w:w="0" w:type="auto"/>
            <w:tcMar>
              <w:top w:w="120" w:type="dxa"/>
              <w:left w:w="120" w:type="dxa"/>
              <w:bottom w:w="120" w:type="dxa"/>
              <w:right w:w="120" w:type="dxa"/>
            </w:tcMar>
            <w:vAlign w:val="center"/>
            <w:hideMark/>
          </w:tcPr>
          <w:p w14:paraId="02A2B62C" w14:textId="77777777" w:rsidR="00934F68" w:rsidRPr="004A7047" w:rsidRDefault="00934F68" w:rsidP="00934F68">
            <w:pPr>
              <w:spacing w:line="320" w:lineRule="atLeast"/>
              <w:ind w:firstLine="0"/>
              <w:jc w:val="left"/>
              <w:rPr>
                <w:rFonts w:cs="Times New Roman"/>
                <w:szCs w:val="20"/>
              </w:rPr>
            </w:pPr>
            <w:r>
              <w:rPr>
                <w:rFonts w:cs="Times New Roman"/>
                <w:szCs w:val="20"/>
              </w:rPr>
              <w:t>Cognitive Overreliance (CO)</w:t>
            </w:r>
          </w:p>
        </w:tc>
        <w:tc>
          <w:tcPr>
            <w:tcW w:w="0" w:type="auto"/>
            <w:tcMar>
              <w:top w:w="120" w:type="dxa"/>
              <w:left w:w="120" w:type="dxa"/>
              <w:bottom w:w="120" w:type="dxa"/>
              <w:right w:w="120" w:type="dxa"/>
            </w:tcMar>
            <w:vAlign w:val="center"/>
            <w:hideMark/>
          </w:tcPr>
          <w:p w14:paraId="373379CC" w14:textId="77777777" w:rsidR="00934F68" w:rsidRPr="004A7047" w:rsidRDefault="00934F68" w:rsidP="00934F68">
            <w:pPr>
              <w:spacing w:line="320" w:lineRule="atLeast"/>
              <w:ind w:firstLine="0"/>
              <w:jc w:val="left"/>
              <w:rPr>
                <w:rFonts w:cs="Times New Roman"/>
                <w:szCs w:val="20"/>
              </w:rPr>
            </w:pPr>
            <w:r>
              <w:rPr>
                <w:rFonts w:cs="Times New Roman"/>
                <w:szCs w:val="20"/>
              </w:rPr>
              <w:t>4</w:t>
            </w:r>
          </w:p>
        </w:tc>
        <w:tc>
          <w:tcPr>
            <w:tcW w:w="0" w:type="auto"/>
            <w:tcMar>
              <w:top w:w="120" w:type="dxa"/>
              <w:left w:w="120" w:type="dxa"/>
              <w:bottom w:w="120" w:type="dxa"/>
              <w:right w:w="120" w:type="dxa"/>
            </w:tcMar>
            <w:vAlign w:val="center"/>
            <w:hideMark/>
          </w:tcPr>
          <w:p w14:paraId="4CD44959" w14:textId="77777777" w:rsidR="00934F68" w:rsidRPr="004A7047" w:rsidRDefault="00934F68" w:rsidP="00934F68">
            <w:pPr>
              <w:spacing w:line="320" w:lineRule="atLeast"/>
              <w:ind w:firstLine="0"/>
              <w:jc w:val="left"/>
              <w:rPr>
                <w:rFonts w:cs="Times New Roman"/>
                <w:szCs w:val="20"/>
              </w:rPr>
            </w:pPr>
            <w:r>
              <w:rPr>
                <w:rFonts w:cs="Times New Roman"/>
                <w:szCs w:val="20"/>
              </w:rPr>
              <w:t>15.407%</w:t>
            </w:r>
          </w:p>
        </w:tc>
        <w:tc>
          <w:tcPr>
            <w:tcW w:w="0" w:type="auto"/>
            <w:tcMar>
              <w:top w:w="120" w:type="dxa"/>
              <w:left w:w="120" w:type="dxa"/>
              <w:bottom w:w="120" w:type="dxa"/>
              <w:right w:w="120" w:type="dxa"/>
            </w:tcMar>
            <w:vAlign w:val="center"/>
            <w:hideMark/>
          </w:tcPr>
          <w:p w14:paraId="070EBBB2" w14:textId="77777777" w:rsidR="00934F68" w:rsidRPr="004A7047" w:rsidRDefault="00934F68" w:rsidP="00934F68">
            <w:pPr>
              <w:spacing w:line="320" w:lineRule="atLeast"/>
              <w:ind w:firstLine="0"/>
              <w:jc w:val="left"/>
              <w:rPr>
                <w:rFonts w:cs="Times New Roman"/>
                <w:szCs w:val="20"/>
              </w:rPr>
            </w:pPr>
            <w:r>
              <w:rPr>
                <w:rFonts w:cs="Times New Roman"/>
                <w:szCs w:val="20"/>
              </w:rPr>
              <w:t>CO retained</w:t>
            </w:r>
          </w:p>
        </w:tc>
      </w:tr>
      <w:tr w:rsidR="00934F68" w:rsidRPr="004A7047" w14:paraId="78EE361A" w14:textId="77777777" w:rsidTr="00E1296B">
        <w:tc>
          <w:tcPr>
            <w:tcW w:w="0" w:type="auto"/>
            <w:tcBorders>
              <w:bottom w:val="single" w:sz="4" w:space="0" w:color="auto"/>
            </w:tcBorders>
            <w:tcMar>
              <w:top w:w="120" w:type="dxa"/>
              <w:left w:w="120" w:type="dxa"/>
              <w:bottom w:w="120" w:type="dxa"/>
              <w:right w:w="120" w:type="dxa"/>
            </w:tcMar>
            <w:vAlign w:val="center"/>
            <w:hideMark/>
          </w:tcPr>
          <w:p w14:paraId="3DE444E9" w14:textId="77777777" w:rsidR="00934F68" w:rsidRPr="004A7047" w:rsidRDefault="00934F68" w:rsidP="00934F68">
            <w:pPr>
              <w:spacing w:line="320" w:lineRule="atLeast"/>
              <w:ind w:firstLine="0"/>
              <w:jc w:val="left"/>
              <w:rPr>
                <w:rFonts w:cs="Times New Roman"/>
                <w:szCs w:val="20"/>
              </w:rPr>
            </w:pPr>
            <w:r>
              <w:rPr>
                <w:rFonts w:cs="Times New Roman"/>
                <w:szCs w:val="20"/>
              </w:rPr>
              <w:t>F4</w:t>
            </w:r>
          </w:p>
        </w:tc>
        <w:tc>
          <w:tcPr>
            <w:tcW w:w="0" w:type="auto"/>
            <w:tcBorders>
              <w:bottom w:val="single" w:sz="4" w:space="0" w:color="auto"/>
            </w:tcBorders>
            <w:tcMar>
              <w:top w:w="120" w:type="dxa"/>
              <w:left w:w="120" w:type="dxa"/>
              <w:bottom w:w="120" w:type="dxa"/>
              <w:right w:w="120" w:type="dxa"/>
            </w:tcMar>
            <w:vAlign w:val="center"/>
            <w:hideMark/>
          </w:tcPr>
          <w:p w14:paraId="79346719" w14:textId="77777777" w:rsidR="00934F68" w:rsidRPr="004A7047" w:rsidRDefault="00934F68" w:rsidP="00934F68">
            <w:pPr>
              <w:spacing w:line="320" w:lineRule="atLeast"/>
              <w:ind w:firstLine="0"/>
              <w:jc w:val="left"/>
              <w:rPr>
                <w:rFonts w:cs="Times New Roman"/>
                <w:szCs w:val="20"/>
              </w:rPr>
            </w:pPr>
            <w:r>
              <w:rPr>
                <w:rFonts w:cs="Times New Roman"/>
                <w:szCs w:val="20"/>
              </w:rPr>
              <w:t>Perceived Ease of Use (PEOU)</w:t>
            </w:r>
          </w:p>
        </w:tc>
        <w:tc>
          <w:tcPr>
            <w:tcW w:w="0" w:type="auto"/>
            <w:tcBorders>
              <w:bottom w:val="single" w:sz="4" w:space="0" w:color="auto"/>
            </w:tcBorders>
            <w:tcMar>
              <w:top w:w="120" w:type="dxa"/>
              <w:left w:w="120" w:type="dxa"/>
              <w:bottom w:w="120" w:type="dxa"/>
              <w:right w:w="120" w:type="dxa"/>
            </w:tcMar>
            <w:vAlign w:val="center"/>
            <w:hideMark/>
          </w:tcPr>
          <w:p w14:paraId="6A641CB8" w14:textId="77777777" w:rsidR="00934F68" w:rsidRPr="004A7047" w:rsidRDefault="00934F68" w:rsidP="00934F68">
            <w:pPr>
              <w:spacing w:line="320" w:lineRule="atLeast"/>
              <w:ind w:firstLine="0"/>
              <w:jc w:val="left"/>
              <w:rPr>
                <w:rFonts w:cs="Times New Roman"/>
                <w:szCs w:val="20"/>
              </w:rPr>
            </w:pPr>
            <w:r>
              <w:rPr>
                <w:rFonts w:cs="Times New Roman"/>
                <w:szCs w:val="20"/>
              </w:rPr>
              <w:t>4</w:t>
            </w:r>
          </w:p>
        </w:tc>
        <w:tc>
          <w:tcPr>
            <w:tcW w:w="0" w:type="auto"/>
            <w:tcBorders>
              <w:bottom w:val="single" w:sz="4" w:space="0" w:color="auto"/>
            </w:tcBorders>
            <w:tcMar>
              <w:top w:w="120" w:type="dxa"/>
              <w:left w:w="120" w:type="dxa"/>
              <w:bottom w:w="120" w:type="dxa"/>
              <w:right w:w="120" w:type="dxa"/>
            </w:tcMar>
            <w:vAlign w:val="center"/>
            <w:hideMark/>
          </w:tcPr>
          <w:p w14:paraId="1DAEBBC0" w14:textId="77777777" w:rsidR="00934F68" w:rsidRPr="004A7047" w:rsidRDefault="00934F68" w:rsidP="00934F68">
            <w:pPr>
              <w:spacing w:line="320" w:lineRule="atLeast"/>
              <w:ind w:firstLine="0"/>
              <w:jc w:val="left"/>
              <w:rPr>
                <w:rFonts w:cs="Times New Roman"/>
                <w:szCs w:val="20"/>
              </w:rPr>
            </w:pPr>
            <w:r>
              <w:rPr>
                <w:rFonts w:cs="Times New Roman"/>
                <w:szCs w:val="20"/>
              </w:rPr>
              <w:t>14.725%</w:t>
            </w:r>
          </w:p>
        </w:tc>
        <w:tc>
          <w:tcPr>
            <w:tcW w:w="0" w:type="auto"/>
            <w:tcBorders>
              <w:bottom w:val="single" w:sz="4" w:space="0" w:color="auto"/>
            </w:tcBorders>
            <w:tcMar>
              <w:top w:w="120" w:type="dxa"/>
              <w:left w:w="120" w:type="dxa"/>
              <w:bottom w:w="120" w:type="dxa"/>
              <w:right w:w="120" w:type="dxa"/>
            </w:tcMar>
            <w:vAlign w:val="center"/>
            <w:hideMark/>
          </w:tcPr>
          <w:p w14:paraId="536586B8" w14:textId="77777777" w:rsidR="00934F68" w:rsidRPr="004A7047" w:rsidRDefault="00934F68" w:rsidP="00934F68">
            <w:pPr>
              <w:spacing w:line="320" w:lineRule="atLeast"/>
              <w:ind w:firstLine="0"/>
              <w:jc w:val="left"/>
              <w:rPr>
                <w:rFonts w:cs="Times New Roman"/>
                <w:szCs w:val="20"/>
              </w:rPr>
            </w:pPr>
            <w:r>
              <w:rPr>
                <w:rFonts w:cs="Times New Roman"/>
                <w:szCs w:val="20"/>
              </w:rPr>
              <w:t>PEOU retained</w:t>
            </w:r>
          </w:p>
        </w:tc>
      </w:tr>
      <w:tr w:rsidR="00934F68" w:rsidRPr="004A7047" w14:paraId="39578BDE" w14:textId="77777777" w:rsidTr="00E1296B">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659E8DE9" w14:textId="77777777" w:rsidR="00934F68" w:rsidRPr="004A7047" w:rsidRDefault="00934F68" w:rsidP="00934F68">
            <w:pPr>
              <w:spacing w:line="320" w:lineRule="atLeast"/>
              <w:ind w:firstLine="0"/>
              <w:jc w:val="left"/>
              <w:rPr>
                <w:rFonts w:cs="Times New Roman"/>
                <w:szCs w:val="20"/>
              </w:rPr>
            </w:pPr>
            <w:r>
              <w:rPr>
                <w:rFonts w:cs="Times New Roman"/>
                <w:b/>
                <w:bCs/>
                <w:szCs w:val="20"/>
              </w:rPr>
              <w:t>Total</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0EB71743" w14:textId="77777777" w:rsidR="00934F68" w:rsidRPr="004A7047" w:rsidRDefault="00934F68" w:rsidP="00934F68">
            <w:pPr>
              <w:spacing w:line="320" w:lineRule="atLeast"/>
              <w:ind w:firstLine="0"/>
              <w:jc w:val="left"/>
              <w:rPr>
                <w:rFonts w:cs="Times New Roman"/>
                <w:szCs w:val="20"/>
              </w:rPr>
            </w:pPr>
            <w:r>
              <w:rPr>
                <w:rFonts w:cs="Times New Roman"/>
                <w:b/>
                <w:bCs/>
                <w:szCs w:val="20"/>
              </w:rPr>
              <w:t>4 factors</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2104233C" w14:textId="77777777" w:rsidR="00934F68" w:rsidRPr="004A7047" w:rsidRDefault="00934F68" w:rsidP="00934F68">
            <w:pPr>
              <w:spacing w:line="320" w:lineRule="atLeast"/>
              <w:ind w:firstLine="0"/>
              <w:jc w:val="left"/>
              <w:rPr>
                <w:rFonts w:cs="Times New Roman"/>
                <w:szCs w:val="20"/>
              </w:rPr>
            </w:pPr>
            <w:r>
              <w:rPr>
                <w:rFonts w:cs="Times New Roman"/>
                <w:b/>
                <w:bCs/>
                <w:szCs w:val="20"/>
              </w:rPr>
              <w:t>23</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36C8699F" w14:textId="77777777" w:rsidR="00934F68" w:rsidRPr="004A7047" w:rsidRDefault="00934F68" w:rsidP="00934F68">
            <w:pPr>
              <w:spacing w:line="320" w:lineRule="atLeast"/>
              <w:ind w:firstLine="0"/>
              <w:jc w:val="left"/>
              <w:rPr>
                <w:rFonts w:cs="Times New Roman"/>
                <w:szCs w:val="20"/>
              </w:rPr>
            </w:pPr>
            <w:r>
              <w:rPr>
                <w:rFonts w:cs="Times New Roman"/>
                <w:b/>
                <w:bCs/>
                <w:szCs w:val="20"/>
              </w:rPr>
              <w:t>73.526%</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4188D4C6" w14:textId="77777777" w:rsidR="00934F68" w:rsidRPr="004A7047" w:rsidRDefault="00934F68" w:rsidP="00934F68">
            <w:pPr>
              <w:spacing w:line="320" w:lineRule="atLeast"/>
              <w:ind w:firstLine="0"/>
              <w:jc w:val="left"/>
              <w:rPr>
                <w:rFonts w:cs="Times New Roman"/>
                <w:szCs w:val="20"/>
              </w:rPr>
            </w:pPr>
            <w:r>
              <w:rPr>
                <w:rFonts w:cs="Times New Roman"/>
                <w:szCs w:val="20"/>
              </w:rPr>
              <w:t>5 → 4 constructs</w:t>
            </w:r>
          </w:p>
        </w:tc>
      </w:tr>
    </w:tbl>
    <w:p w14:paraId="3A1CB98D" w14:textId="77777777" w:rsidR="00C12CDD" w:rsidRDefault="00C12CDD" w:rsidP="00F844C8">
      <w:pPr>
        <w:pStyle w:val="RALs-Normal"/>
        <w:spacing w:before="0" w:after="120" w:line="480" w:lineRule="auto"/>
        <w:rPr>
          <w:sz w:val="24"/>
          <w:szCs w:val="24"/>
        </w:rPr>
      </w:pPr>
    </w:p>
    <w:p w14:paraId="003B21BF" w14:textId="462BF97F" w:rsidR="008B1D12" w:rsidRDefault="00934F68" w:rsidP="00934F68">
      <w:pPr>
        <w:pStyle w:val="RALs-Normal"/>
        <w:spacing w:before="0" w:after="120" w:line="480" w:lineRule="auto"/>
        <w:rPr>
          <w:sz w:val="24"/>
          <w:szCs w:val="24"/>
        </w:rPr>
      </w:pPr>
      <w:r w:rsidRPr="00934F68">
        <w:rPr>
          <w:sz w:val="24"/>
          <w:szCs w:val="24"/>
        </w:rPr>
        <w:t xml:space="preserve">The emergence of AI Learning Engagement (ALE) as a composite factor is the most theoretically significant result of this study. More specifically, ALE refers to a combined pattern in which students perceive AI as useful not only because it helps them produce better translations, but also because it supports how they learn during the translation process. In this </w:t>
      </w:r>
      <w:r w:rsidRPr="00934F68">
        <w:rPr>
          <w:sz w:val="24"/>
          <w:szCs w:val="24"/>
        </w:rPr>
        <w:lastRenderedPageBreak/>
        <w:t xml:space="preserve">study, the factor brings together items related to perceived usefulness, such as improving translation quality, </w:t>
      </w:r>
      <w:proofErr w:type="gramStart"/>
      <w:r w:rsidRPr="00934F68">
        <w:rPr>
          <w:sz w:val="24"/>
          <w:szCs w:val="24"/>
        </w:rPr>
        <w:t>vocabulary, and</w:t>
      </w:r>
      <w:proofErr w:type="gramEnd"/>
      <w:r w:rsidRPr="00934F68">
        <w:rPr>
          <w:sz w:val="24"/>
          <w:szCs w:val="24"/>
        </w:rPr>
        <w:t xml:space="preserve"> error identification, and items related to self-regulated learning, such as planning AI use, monitoring AI suggestions, checking outputs, reflecting, and evaluating learning. In other words, ALE represents the extent to which students experience AI as both a practical translation aid and a scaffold for metacognitive engagement. This finding suggests that, in the HUFLIT context, usefulness and self-regulation are closely intertwined rather than clearly separated dimensions.</w:t>
      </w:r>
    </w:p>
    <w:p w14:paraId="0496FF21" w14:textId="77777777" w:rsidR="00722EDE" w:rsidRPr="00E40940" w:rsidRDefault="00722EDE" w:rsidP="00F844C8">
      <w:pPr>
        <w:pStyle w:val="RALs-Heading1"/>
        <w:spacing w:before="0" w:after="120" w:line="480" w:lineRule="auto"/>
        <w:rPr>
          <w:rFonts w:asciiTheme="majorBidi" w:hAnsiTheme="majorBidi" w:cstheme="majorBidi"/>
          <w:sz w:val="24"/>
          <w:szCs w:val="24"/>
        </w:rPr>
      </w:pPr>
      <w:r w:rsidRPr="00E40940">
        <w:rPr>
          <w:rFonts w:asciiTheme="majorBidi" w:hAnsiTheme="majorBidi" w:cstheme="majorBidi"/>
          <w:sz w:val="24"/>
          <w:szCs w:val="24"/>
        </w:rPr>
        <w:t xml:space="preserve">5. Discussion </w:t>
      </w:r>
    </w:p>
    <w:p w14:paraId="7FBD60F5" w14:textId="77777777" w:rsidR="00CE0242" w:rsidRPr="00CE0242" w:rsidRDefault="00CE0242" w:rsidP="00CE0242">
      <w:pPr>
        <w:spacing w:before="0" w:after="120" w:line="480" w:lineRule="auto"/>
        <w:rPr>
          <w:rFonts w:asciiTheme="majorBidi" w:hAnsiTheme="majorBidi" w:cstheme="majorBidi"/>
          <w:sz w:val="24"/>
          <w:szCs w:val="24"/>
        </w:rPr>
      </w:pPr>
      <w:r w:rsidRPr="00CE0242">
        <w:rPr>
          <w:rFonts w:asciiTheme="majorBidi" w:hAnsiTheme="majorBidi" w:cstheme="majorBidi"/>
          <w:sz w:val="24"/>
          <w:szCs w:val="24"/>
        </w:rPr>
        <w:t xml:space="preserve">The findings provide a coherent picture of how HUFLIT English majors experience AI-supported translation learning. Across all constructs, students reported consistently positive perceptions of </w:t>
      </w:r>
      <w:proofErr w:type="gramStart"/>
      <w:r w:rsidRPr="00CE0242">
        <w:rPr>
          <w:rFonts w:asciiTheme="majorBidi" w:hAnsiTheme="majorBidi" w:cstheme="majorBidi"/>
          <w:sz w:val="24"/>
          <w:szCs w:val="24"/>
        </w:rPr>
        <w:t>AI, yet</w:t>
      </w:r>
      <w:proofErr w:type="gramEnd"/>
      <w:r w:rsidRPr="00CE0242">
        <w:rPr>
          <w:rFonts w:asciiTheme="majorBidi" w:hAnsiTheme="majorBidi" w:cstheme="majorBidi"/>
          <w:sz w:val="24"/>
          <w:szCs w:val="24"/>
        </w:rPr>
        <w:t xml:space="preserve"> simultaneously expressed clear awareness of risks associated with overdependence and reduced independent thinking. This dual pattern runs throughout the descriptive results and is further clarified by the four-factor structure identified through EFA.</w:t>
      </w:r>
    </w:p>
    <w:p w14:paraId="1F3D9BEE" w14:textId="77777777" w:rsidR="00CE0242" w:rsidRPr="00CE0242" w:rsidRDefault="00CE0242" w:rsidP="00CE0242">
      <w:pPr>
        <w:spacing w:before="0" w:after="120" w:line="480" w:lineRule="auto"/>
        <w:ind w:firstLine="0"/>
        <w:rPr>
          <w:rFonts w:asciiTheme="majorBidi" w:hAnsiTheme="majorBidi" w:cstheme="majorBidi"/>
          <w:b/>
          <w:bCs/>
          <w:i/>
          <w:iCs/>
          <w:sz w:val="24"/>
          <w:szCs w:val="24"/>
        </w:rPr>
      </w:pPr>
      <w:r w:rsidRPr="00CE0242">
        <w:rPr>
          <w:rFonts w:asciiTheme="majorBidi" w:hAnsiTheme="majorBidi" w:cstheme="majorBidi"/>
          <w:b/>
          <w:bCs/>
          <w:i/>
          <w:iCs/>
          <w:sz w:val="24"/>
          <w:szCs w:val="24"/>
        </w:rPr>
        <w:t>5.1. High AI Engagement and Perceived Benefits</w:t>
      </w:r>
    </w:p>
    <w:p w14:paraId="69D44BB3" w14:textId="77777777" w:rsidR="00F101E7" w:rsidRDefault="00E81771" w:rsidP="00CE0242">
      <w:pPr>
        <w:spacing w:before="0" w:after="120" w:line="480" w:lineRule="auto"/>
        <w:rPr>
          <w:rFonts w:asciiTheme="majorBidi" w:hAnsiTheme="majorBidi" w:cstheme="majorBidi"/>
          <w:sz w:val="24"/>
          <w:szCs w:val="24"/>
        </w:rPr>
      </w:pPr>
      <w:r w:rsidRPr="00E81771">
        <w:rPr>
          <w:rFonts w:asciiTheme="majorBidi" w:hAnsiTheme="majorBidi" w:cstheme="majorBidi"/>
          <w:sz w:val="24"/>
          <w:szCs w:val="24"/>
        </w:rPr>
        <w:t>Addressing Research Question 1, the finding that perceived usefulness and self-regulated learning converged into a single factor</w:t>
      </w:r>
      <w:r>
        <w:rPr>
          <w:rFonts w:asciiTheme="majorBidi" w:hAnsiTheme="majorBidi" w:cstheme="majorBidi"/>
          <w:sz w:val="24"/>
          <w:szCs w:val="24"/>
        </w:rPr>
        <w:t xml:space="preserve"> –</w:t>
      </w:r>
      <w:r w:rsidRPr="00E81771">
        <w:rPr>
          <w:rFonts w:asciiTheme="majorBidi" w:hAnsiTheme="majorBidi" w:cstheme="majorBidi"/>
          <w:sz w:val="24"/>
          <w:szCs w:val="24"/>
        </w:rPr>
        <w:t xml:space="preserve"> labelled AI Learning Engagement (ALE)</w:t>
      </w:r>
      <w:r>
        <w:rPr>
          <w:rFonts w:asciiTheme="majorBidi" w:hAnsiTheme="majorBidi" w:cstheme="majorBidi"/>
          <w:sz w:val="24"/>
          <w:szCs w:val="24"/>
        </w:rPr>
        <w:t xml:space="preserve">, </w:t>
      </w:r>
      <w:r w:rsidRPr="00E81771">
        <w:rPr>
          <w:rFonts w:asciiTheme="majorBidi" w:hAnsiTheme="majorBidi" w:cstheme="majorBidi"/>
          <w:sz w:val="24"/>
          <w:szCs w:val="24"/>
        </w:rPr>
        <w:t>suggests that HUFLIT students do not perceive AI as a passive tool but as an active scaffold for their own metacognitive processes.</w:t>
      </w:r>
    </w:p>
    <w:p w14:paraId="1993B5EE" w14:textId="4E09D244" w:rsidR="00CE0242" w:rsidRPr="00727C5A" w:rsidRDefault="00E81771" w:rsidP="00CE0242">
      <w:pPr>
        <w:spacing w:before="0" w:after="120" w:line="480" w:lineRule="auto"/>
        <w:rPr>
          <w:rFonts w:asciiTheme="majorBidi" w:hAnsiTheme="majorBidi" w:cstheme="majorBidi"/>
          <w:sz w:val="24"/>
          <w:szCs w:val="24"/>
        </w:rPr>
      </w:pPr>
      <w:r w:rsidRPr="00E81771">
        <w:rPr>
          <w:rFonts w:asciiTheme="majorBidi" w:hAnsiTheme="majorBidi" w:cstheme="majorBidi"/>
          <w:sz w:val="24"/>
          <w:szCs w:val="24"/>
        </w:rPr>
        <w:t xml:space="preserve">Students appear to find AI valuable precisely because it supports their learning engagement, including </w:t>
      </w:r>
      <w:proofErr w:type="gramStart"/>
      <w:r w:rsidRPr="00E81771">
        <w:rPr>
          <w:rFonts w:asciiTheme="majorBidi" w:hAnsiTheme="majorBidi" w:cstheme="majorBidi"/>
          <w:sz w:val="24"/>
          <w:szCs w:val="24"/>
        </w:rPr>
        <w:t>goal-setting</w:t>
      </w:r>
      <w:proofErr w:type="gramEnd"/>
      <w:r w:rsidRPr="00E81771">
        <w:rPr>
          <w:rFonts w:asciiTheme="majorBidi" w:hAnsiTheme="majorBidi" w:cstheme="majorBidi"/>
          <w:sz w:val="24"/>
          <w:szCs w:val="24"/>
        </w:rPr>
        <w:t>, monitoring, and reflection during translation tasks.</w:t>
      </w:r>
      <w:r>
        <w:rPr>
          <w:rFonts w:asciiTheme="majorBidi" w:hAnsiTheme="majorBidi" w:cstheme="majorBidi"/>
          <w:sz w:val="24"/>
          <w:szCs w:val="24"/>
        </w:rPr>
        <w:t xml:space="preserve"> </w:t>
      </w:r>
      <w:r w:rsidR="00CE0242" w:rsidRPr="00727C5A">
        <w:rPr>
          <w:rFonts w:asciiTheme="majorBidi" w:hAnsiTheme="majorBidi" w:cstheme="majorBidi"/>
          <w:sz w:val="24"/>
          <w:szCs w:val="24"/>
        </w:rPr>
        <w:t xml:space="preserve">AI use among HUFLIT English majors is already widespread: mean usage frequency was 3.84 out of 5, and 92.7% of respondents had already used AI in translation courses. ChatGPT was the dominant tool (72.6%), and students primarily used AI for grammar checking (32.9%) and vocabulary search (24.2%), suggesting that AI serves mainly as a language-level support </w:t>
      </w:r>
      <w:r w:rsidR="00CE0242" w:rsidRPr="00727C5A">
        <w:rPr>
          <w:rFonts w:asciiTheme="majorBidi" w:hAnsiTheme="majorBidi" w:cstheme="majorBidi"/>
          <w:sz w:val="24"/>
          <w:szCs w:val="24"/>
        </w:rPr>
        <w:lastRenderedPageBreak/>
        <w:t>tool rather than a direct translation substitute. Perceived Usefulness recorded the highest and most consistent mean scores across the study (M = 4.15–4.16), confirming that students see AI as a genuinely beneficial resource for improving translation quality, vocabulary, error identification, and task completion.</w:t>
      </w:r>
    </w:p>
    <w:p w14:paraId="52B73557" w14:textId="77777777" w:rsidR="00CE0242" w:rsidRPr="00CE0242" w:rsidRDefault="00CE0242" w:rsidP="00CE0242">
      <w:pPr>
        <w:spacing w:before="0" w:after="120" w:line="480" w:lineRule="auto"/>
        <w:ind w:firstLine="0"/>
        <w:rPr>
          <w:rFonts w:asciiTheme="majorBidi" w:hAnsiTheme="majorBidi" w:cstheme="majorBidi"/>
          <w:b/>
          <w:bCs/>
          <w:i/>
          <w:iCs/>
          <w:sz w:val="24"/>
          <w:szCs w:val="24"/>
        </w:rPr>
      </w:pPr>
      <w:r w:rsidRPr="00CE0242">
        <w:rPr>
          <w:rFonts w:asciiTheme="majorBidi" w:hAnsiTheme="majorBidi" w:cstheme="majorBidi"/>
          <w:b/>
          <w:bCs/>
          <w:i/>
          <w:iCs/>
          <w:sz w:val="24"/>
          <w:szCs w:val="24"/>
        </w:rPr>
        <w:t>5.2. The Composite AI Learning Engagement Factor</w:t>
      </w:r>
    </w:p>
    <w:p w14:paraId="3A672035" w14:textId="77777777" w:rsidR="00F101E7" w:rsidRPr="00F101E7" w:rsidRDefault="00F101E7" w:rsidP="00F101E7">
      <w:pPr>
        <w:spacing w:before="0" w:after="120" w:line="480" w:lineRule="auto"/>
        <w:rPr>
          <w:rFonts w:asciiTheme="majorBidi" w:hAnsiTheme="majorBidi" w:cstheme="majorBidi"/>
          <w:sz w:val="24"/>
          <w:szCs w:val="24"/>
        </w:rPr>
      </w:pPr>
      <w:r w:rsidRPr="00F101E7">
        <w:rPr>
          <w:rFonts w:asciiTheme="majorBidi" w:hAnsiTheme="majorBidi" w:cstheme="majorBidi"/>
          <w:sz w:val="24"/>
          <w:szCs w:val="24"/>
        </w:rPr>
        <w:t>In relation to Research Question 3, the clean separation of Teacher AI Integration (TAI) as a distinct factor confirms that students perceive teacher guidance as a qualitatively different dimension from their own AI learning engagement.</w:t>
      </w:r>
    </w:p>
    <w:p w14:paraId="59862831" w14:textId="46658CF8" w:rsidR="00CE0242" w:rsidRPr="00727C5A" w:rsidRDefault="00CE0242" w:rsidP="00CE0242">
      <w:pPr>
        <w:spacing w:before="0" w:after="120" w:line="480" w:lineRule="auto"/>
        <w:rPr>
          <w:rFonts w:asciiTheme="majorBidi" w:hAnsiTheme="majorBidi" w:cstheme="majorBidi"/>
          <w:sz w:val="24"/>
          <w:szCs w:val="24"/>
        </w:rPr>
      </w:pPr>
      <w:r w:rsidRPr="00727C5A">
        <w:rPr>
          <w:rFonts w:asciiTheme="majorBidi" w:hAnsiTheme="majorBidi" w:cstheme="majorBidi"/>
          <w:sz w:val="24"/>
          <w:szCs w:val="24"/>
        </w:rPr>
        <w:t>The most theoretically significant finding is the emergence of the AI Learning Engagement (ALE) factor, which combined Perceived Usefulness and Self-Regulated Learning items into a single construct accounting for 26.373% of total variance. In the classical TAM framework, these are treated as separate dimensions; the present results suggest that HUFLIT students perceive AI as useful </w:t>
      </w:r>
      <w:r w:rsidRPr="00727C5A">
        <w:rPr>
          <w:rFonts w:asciiTheme="majorBidi" w:hAnsiTheme="majorBidi" w:cstheme="majorBidi"/>
          <w:i/>
          <w:iCs/>
          <w:sz w:val="24"/>
          <w:szCs w:val="24"/>
        </w:rPr>
        <w:t>because</w:t>
      </w:r>
      <w:r w:rsidRPr="00727C5A">
        <w:rPr>
          <w:rFonts w:asciiTheme="majorBidi" w:hAnsiTheme="majorBidi" w:cstheme="majorBidi"/>
          <w:sz w:val="24"/>
          <w:szCs w:val="24"/>
        </w:rPr>
        <w:t xml:space="preserve"> it supports their metacognitive processes: planning, monitoring, checking, reflecting, and evaluating. Usefulness is therefore not merely about better translation outcomes but is deeply intertwined with self-regulated engagement. </w:t>
      </w:r>
      <w:r w:rsidR="00B548FC" w:rsidRPr="00B548FC">
        <w:rPr>
          <w:rFonts w:asciiTheme="majorBidi" w:hAnsiTheme="majorBidi" w:cstheme="majorBidi"/>
          <w:sz w:val="24"/>
          <w:szCs w:val="24"/>
        </w:rPr>
        <w:t>This finding contributes an important nuance to the TAM–SRL integration proposed in the theoretical framework and suggests that future research should apply confirmatory factor analysis (CFA) to further validate the ALE construct across different EFL and translation contexts</w:t>
      </w:r>
      <w:r w:rsidRPr="00727C5A">
        <w:rPr>
          <w:rFonts w:asciiTheme="majorBidi" w:hAnsiTheme="majorBidi" w:cstheme="majorBidi"/>
          <w:sz w:val="24"/>
          <w:szCs w:val="24"/>
        </w:rPr>
        <w:t>.</w:t>
      </w:r>
    </w:p>
    <w:p w14:paraId="0AC0B4A0" w14:textId="77777777" w:rsidR="00CE0242" w:rsidRPr="00CE0242" w:rsidRDefault="00CE0242" w:rsidP="00CE0242">
      <w:pPr>
        <w:spacing w:before="0" w:after="120" w:line="480" w:lineRule="auto"/>
        <w:ind w:firstLine="0"/>
        <w:rPr>
          <w:rFonts w:asciiTheme="majorBidi" w:hAnsiTheme="majorBidi" w:cstheme="majorBidi"/>
          <w:b/>
          <w:bCs/>
          <w:i/>
          <w:iCs/>
          <w:sz w:val="24"/>
          <w:szCs w:val="24"/>
        </w:rPr>
      </w:pPr>
      <w:r w:rsidRPr="00CE0242">
        <w:rPr>
          <w:rFonts w:asciiTheme="majorBidi" w:hAnsiTheme="majorBidi" w:cstheme="majorBidi"/>
          <w:b/>
          <w:bCs/>
          <w:i/>
          <w:iCs/>
          <w:sz w:val="24"/>
          <w:szCs w:val="24"/>
        </w:rPr>
        <w:t>5.3. Teacher AI Integration as a Distinct Factor</w:t>
      </w:r>
    </w:p>
    <w:p w14:paraId="25B69BFA" w14:textId="77777777" w:rsidR="00F101E7" w:rsidRPr="00F101E7" w:rsidRDefault="00F101E7" w:rsidP="00F101E7">
      <w:pPr>
        <w:spacing w:before="0" w:after="120" w:line="480" w:lineRule="auto"/>
        <w:rPr>
          <w:rFonts w:asciiTheme="majorBidi" w:hAnsiTheme="majorBidi" w:cstheme="majorBidi"/>
          <w:sz w:val="24"/>
          <w:szCs w:val="24"/>
        </w:rPr>
      </w:pPr>
      <w:r w:rsidRPr="00F101E7">
        <w:rPr>
          <w:rFonts w:asciiTheme="majorBidi" w:hAnsiTheme="majorBidi" w:cstheme="majorBidi"/>
          <w:sz w:val="24"/>
          <w:szCs w:val="24"/>
        </w:rPr>
        <w:t>Also relevant to Research Question 1, the emergence of Cognitive Overreliance (CO) as a separate factor reflects students' dual awareness: they recognise AI as beneficial while simultaneously acknowledging a tendency toward over-dependence that may undermine independent thinking and critical translation decision-making.</w:t>
      </w:r>
    </w:p>
    <w:p w14:paraId="1DDE02EB" w14:textId="3370B060" w:rsidR="00CE0242" w:rsidRPr="00CE0242" w:rsidRDefault="00CE0242" w:rsidP="00CE0242">
      <w:pPr>
        <w:spacing w:before="0" w:after="120" w:line="480" w:lineRule="auto"/>
        <w:rPr>
          <w:rFonts w:asciiTheme="majorBidi" w:hAnsiTheme="majorBidi" w:cstheme="majorBidi"/>
          <w:sz w:val="24"/>
          <w:szCs w:val="24"/>
        </w:rPr>
      </w:pPr>
      <w:r w:rsidRPr="00CE0242">
        <w:rPr>
          <w:rFonts w:asciiTheme="majorBidi" w:hAnsiTheme="majorBidi" w:cstheme="majorBidi"/>
          <w:sz w:val="24"/>
          <w:szCs w:val="24"/>
        </w:rPr>
        <w:lastRenderedPageBreak/>
        <w:t xml:space="preserve">Teacher AI Integration emerged as a clear independent factor (F2, 17.021% of variance), with the highest-rated item being "My teacher helps students understand when they should and should not rely on AI" (M = 4.33). This confirms the TPACK perspective: effective AI integration depends not only on tool availability but on teachers purposefully designing AI-supported activities, framing AI as a critical thinking scaffold, and providing explicit guidance on responsible use. The independence of TAI from the ALE factor also signals that students clearly differentiate between their own engagement with AI and the instructional practices of their teachers, </w:t>
      </w:r>
      <w:r w:rsidR="00B548FC" w:rsidRPr="00B548FC">
        <w:rPr>
          <w:rFonts w:asciiTheme="majorBidi" w:hAnsiTheme="majorBidi" w:cstheme="majorBidi"/>
          <w:sz w:val="24"/>
          <w:szCs w:val="24"/>
        </w:rPr>
        <w:t>confirming that teacher guidance remains a decisive factor even when AI tools are freely accessible outside class</w:t>
      </w:r>
      <w:r w:rsidRPr="00CE0242">
        <w:rPr>
          <w:rFonts w:asciiTheme="majorBidi" w:hAnsiTheme="majorBidi" w:cstheme="majorBidi"/>
          <w:sz w:val="24"/>
          <w:szCs w:val="24"/>
        </w:rPr>
        <w:t>.</w:t>
      </w:r>
    </w:p>
    <w:p w14:paraId="6922ABF6" w14:textId="77777777" w:rsidR="00CE0242" w:rsidRPr="00CE0242" w:rsidRDefault="00CE0242" w:rsidP="00CE0242">
      <w:pPr>
        <w:spacing w:before="0" w:after="120" w:line="480" w:lineRule="auto"/>
        <w:ind w:firstLine="0"/>
        <w:rPr>
          <w:rFonts w:asciiTheme="majorBidi" w:hAnsiTheme="majorBidi" w:cstheme="majorBidi"/>
          <w:b/>
          <w:bCs/>
          <w:i/>
          <w:iCs/>
          <w:sz w:val="24"/>
          <w:szCs w:val="24"/>
        </w:rPr>
      </w:pPr>
      <w:r w:rsidRPr="00CE0242">
        <w:rPr>
          <w:rFonts w:asciiTheme="majorBidi" w:hAnsiTheme="majorBidi" w:cstheme="majorBidi"/>
          <w:b/>
          <w:bCs/>
          <w:i/>
          <w:iCs/>
          <w:sz w:val="24"/>
          <w:szCs w:val="24"/>
        </w:rPr>
        <w:t>5.4. Cognitive Overreliance: Awareness Without Resolution</w:t>
      </w:r>
    </w:p>
    <w:p w14:paraId="20CE9C2E" w14:textId="77777777" w:rsidR="00F101E7" w:rsidRPr="00F101E7" w:rsidRDefault="00F101E7" w:rsidP="00F101E7">
      <w:pPr>
        <w:spacing w:before="0" w:after="120" w:line="480" w:lineRule="auto"/>
        <w:rPr>
          <w:rFonts w:asciiTheme="majorBidi" w:hAnsiTheme="majorBidi" w:cstheme="majorBidi"/>
          <w:sz w:val="24"/>
          <w:szCs w:val="24"/>
        </w:rPr>
      </w:pPr>
      <w:r w:rsidRPr="00F101E7">
        <w:rPr>
          <w:rFonts w:asciiTheme="majorBidi" w:hAnsiTheme="majorBidi" w:cstheme="majorBidi"/>
          <w:sz w:val="24"/>
          <w:szCs w:val="24"/>
        </w:rPr>
        <w:t>With respect to Research Question 2, the retention of Perceived Ease of Use (PEOU) as a distinct empirical factor supports the relevance of TAM in this context, confirming that accessibility perceptions constitute a meaningful and separable dimension of students' overall experience of AI-supported translation learning.</w:t>
      </w:r>
    </w:p>
    <w:p w14:paraId="722BFE37" w14:textId="77777777" w:rsidR="00CE0242" w:rsidRPr="00727C5A" w:rsidRDefault="00CE0242" w:rsidP="00CE0242">
      <w:pPr>
        <w:spacing w:before="0" w:after="120" w:line="480" w:lineRule="auto"/>
        <w:rPr>
          <w:rFonts w:asciiTheme="majorBidi" w:hAnsiTheme="majorBidi" w:cstheme="majorBidi"/>
          <w:sz w:val="24"/>
          <w:szCs w:val="24"/>
        </w:rPr>
      </w:pPr>
      <w:r w:rsidRPr="00727C5A">
        <w:rPr>
          <w:rFonts w:asciiTheme="majorBidi" w:hAnsiTheme="majorBidi" w:cstheme="majorBidi"/>
          <w:sz w:val="24"/>
          <w:szCs w:val="24"/>
        </w:rPr>
        <w:t xml:space="preserve">Cognitive Overreliance (CO) formed a distinct independent factor (F3, 15.407% of variance). The item "I sometimes depend too much on AI when doing translation tasks" had the highest </w:t>
      </w:r>
      <w:proofErr w:type="gramStart"/>
      <w:r w:rsidRPr="00727C5A">
        <w:rPr>
          <w:rFonts w:asciiTheme="majorBidi" w:hAnsiTheme="majorBidi" w:cstheme="majorBidi"/>
          <w:sz w:val="24"/>
          <w:szCs w:val="24"/>
        </w:rPr>
        <w:t>mean</w:t>
      </w:r>
      <w:proofErr w:type="gramEnd"/>
      <w:r w:rsidRPr="00727C5A">
        <w:rPr>
          <w:rFonts w:asciiTheme="majorBidi" w:hAnsiTheme="majorBidi" w:cstheme="majorBidi"/>
          <w:sz w:val="24"/>
          <w:szCs w:val="24"/>
        </w:rPr>
        <w:t xml:space="preserve"> in this construct (M = 4.03), and "Using AI sometimes reduces my independent thinking ability" loaded most strongly on this factor (loading = 0.880). Students are clearly aware of their overdependence tendencies; however, awareness alone does not guarantee behavioural change. The relatively high means on items about accepting AI suggestions without careful analysis suggest that cognitive overreliance is already a lived reality for many students, not merely a theoretical concern. Notably, the separation of CO from ALE implies that even students who self-regulate their AI use may simultaneously experience dependence, pointing to the coexistence of metacognitive engagement and habitual reliance in the same learner.</w:t>
      </w:r>
    </w:p>
    <w:p w14:paraId="1CC47BDE" w14:textId="77777777" w:rsidR="00CE0242" w:rsidRPr="00CE0242" w:rsidRDefault="00CE0242" w:rsidP="00CE0242">
      <w:pPr>
        <w:spacing w:before="0" w:after="120" w:line="480" w:lineRule="auto"/>
        <w:ind w:firstLine="0"/>
        <w:rPr>
          <w:rFonts w:asciiTheme="majorBidi" w:hAnsiTheme="majorBidi" w:cstheme="majorBidi"/>
          <w:b/>
          <w:bCs/>
          <w:i/>
          <w:iCs/>
          <w:sz w:val="24"/>
          <w:szCs w:val="24"/>
        </w:rPr>
      </w:pPr>
      <w:r w:rsidRPr="00CE0242">
        <w:rPr>
          <w:rFonts w:asciiTheme="majorBidi" w:hAnsiTheme="majorBidi" w:cstheme="majorBidi"/>
          <w:b/>
          <w:bCs/>
          <w:i/>
          <w:iCs/>
          <w:sz w:val="24"/>
          <w:szCs w:val="24"/>
        </w:rPr>
        <w:lastRenderedPageBreak/>
        <w:t>5.5. Perceived Ease of Use and Confidence</w:t>
      </w:r>
    </w:p>
    <w:p w14:paraId="558103F6" w14:textId="3A6C22DC" w:rsidR="00F101E7" w:rsidRPr="00F101E7" w:rsidRDefault="00F101E7" w:rsidP="00F101E7">
      <w:pPr>
        <w:spacing w:before="0" w:after="120" w:line="480" w:lineRule="auto"/>
        <w:rPr>
          <w:rFonts w:asciiTheme="majorBidi" w:hAnsiTheme="majorBidi" w:cstheme="majorBidi"/>
          <w:sz w:val="24"/>
          <w:szCs w:val="24"/>
        </w:rPr>
      </w:pPr>
      <w:r w:rsidRPr="00F101E7">
        <w:rPr>
          <w:rFonts w:asciiTheme="majorBidi" w:hAnsiTheme="majorBidi" w:cstheme="majorBidi"/>
          <w:b/>
          <w:bCs/>
          <w:sz w:val="24"/>
          <w:szCs w:val="24"/>
        </w:rPr>
        <w:t>Taken together and addressing Research Question 2</w:t>
      </w:r>
      <w:r w:rsidRPr="00F101E7">
        <w:rPr>
          <w:rFonts w:asciiTheme="majorBidi" w:hAnsiTheme="majorBidi" w:cstheme="majorBidi"/>
          <w:sz w:val="24"/>
          <w:szCs w:val="24"/>
        </w:rPr>
        <w:t xml:space="preserve">, the four-factor structure </w:t>
      </w:r>
      <w:r>
        <w:rPr>
          <w:rFonts w:asciiTheme="majorBidi" w:hAnsiTheme="majorBidi" w:cstheme="majorBidi"/>
          <w:sz w:val="24"/>
          <w:szCs w:val="24"/>
        </w:rPr>
        <w:t>–</w:t>
      </w:r>
      <w:r w:rsidRPr="00F101E7">
        <w:rPr>
          <w:rFonts w:asciiTheme="majorBidi" w:hAnsiTheme="majorBidi" w:cstheme="majorBidi"/>
          <w:sz w:val="24"/>
          <w:szCs w:val="24"/>
        </w:rPr>
        <w:t xml:space="preserve"> ALE, TAI, CO, and PEOU</w:t>
      </w:r>
      <w:r>
        <w:rPr>
          <w:rFonts w:asciiTheme="majorBidi" w:hAnsiTheme="majorBidi" w:cstheme="majorBidi"/>
          <w:sz w:val="24"/>
          <w:szCs w:val="24"/>
        </w:rPr>
        <w:t>,</w:t>
      </w:r>
      <w:r w:rsidRPr="00F101E7">
        <w:rPr>
          <w:rFonts w:asciiTheme="majorBidi" w:hAnsiTheme="majorBidi" w:cstheme="majorBidi"/>
          <w:sz w:val="24"/>
          <w:szCs w:val="24"/>
        </w:rPr>
        <w:t xml:space="preserve"> provides an empirically derived model of how HUFLIT students perceive AI-supported translation learning, offering a more differentiated account than prior single-framework studies.</w:t>
      </w:r>
    </w:p>
    <w:p w14:paraId="38D0BF1A" w14:textId="77777777" w:rsidR="00CE0242" w:rsidRPr="00727C5A" w:rsidRDefault="00CE0242" w:rsidP="00CE0242">
      <w:pPr>
        <w:spacing w:before="0" w:after="120" w:line="480" w:lineRule="auto"/>
        <w:rPr>
          <w:rFonts w:asciiTheme="majorBidi" w:hAnsiTheme="majorBidi" w:cstheme="majorBidi"/>
          <w:sz w:val="24"/>
          <w:szCs w:val="24"/>
        </w:rPr>
      </w:pPr>
      <w:r w:rsidRPr="00727C5A">
        <w:rPr>
          <w:rFonts w:asciiTheme="majorBidi" w:hAnsiTheme="majorBidi" w:cstheme="majorBidi"/>
          <w:sz w:val="24"/>
          <w:szCs w:val="24"/>
        </w:rPr>
        <w:t xml:space="preserve">Perceived Ease of Use (PEOU) emerged as the fourth independent factor (F4, 14.725% of variance), with means ranging from 3.93 to 4.15. Students broadly found AI tools accessible and easy to learn; however, the confidence item recorded the lowest </w:t>
      </w:r>
      <w:proofErr w:type="gramStart"/>
      <w:r w:rsidRPr="00727C5A">
        <w:rPr>
          <w:rFonts w:asciiTheme="majorBidi" w:hAnsiTheme="majorBidi" w:cstheme="majorBidi"/>
          <w:sz w:val="24"/>
          <w:szCs w:val="24"/>
        </w:rPr>
        <w:t>mean</w:t>
      </w:r>
      <w:proofErr w:type="gramEnd"/>
      <w:r w:rsidRPr="00727C5A">
        <w:rPr>
          <w:rFonts w:asciiTheme="majorBidi" w:hAnsiTheme="majorBidi" w:cstheme="majorBidi"/>
          <w:sz w:val="24"/>
          <w:szCs w:val="24"/>
        </w:rPr>
        <w:t xml:space="preserve"> (M = 3.93) and the largest standard deviation (SD = 1.014) in this group. This gap between functional ease of use and genuine AI confidence suggests that while most students can operate AI tools, a subset may not yet feel equipped to critically evaluate, selectively apply, or responsibly adapt AI output in complex translation contexts.</w:t>
      </w:r>
    </w:p>
    <w:p w14:paraId="3B401EEA" w14:textId="77777777" w:rsidR="00CE0242" w:rsidRPr="00CE0242" w:rsidRDefault="00CE0242" w:rsidP="00CE0242">
      <w:pPr>
        <w:spacing w:before="0" w:after="120" w:line="480" w:lineRule="auto"/>
        <w:ind w:firstLine="0"/>
        <w:rPr>
          <w:rFonts w:asciiTheme="majorBidi" w:hAnsiTheme="majorBidi" w:cstheme="majorBidi"/>
          <w:b/>
          <w:bCs/>
          <w:i/>
          <w:iCs/>
          <w:sz w:val="24"/>
          <w:szCs w:val="24"/>
        </w:rPr>
      </w:pPr>
      <w:r w:rsidRPr="00CE0242">
        <w:rPr>
          <w:rFonts w:asciiTheme="majorBidi" w:hAnsiTheme="majorBidi" w:cstheme="majorBidi"/>
          <w:b/>
          <w:bCs/>
          <w:i/>
          <w:iCs/>
          <w:sz w:val="24"/>
          <w:szCs w:val="24"/>
        </w:rPr>
        <w:t>5.6. Theoretical Implications</w:t>
      </w:r>
    </w:p>
    <w:p w14:paraId="21F60A4D" w14:textId="00DEFD7E" w:rsidR="00390ED1" w:rsidRDefault="00390ED1" w:rsidP="00CE0242">
      <w:pPr>
        <w:spacing w:before="0" w:after="120" w:line="480" w:lineRule="auto"/>
        <w:rPr>
          <w:rFonts w:asciiTheme="majorBidi" w:hAnsiTheme="majorBidi" w:cstheme="majorBidi"/>
          <w:sz w:val="24"/>
          <w:szCs w:val="24"/>
        </w:rPr>
      </w:pPr>
      <w:r w:rsidRPr="00390ED1">
        <w:rPr>
          <w:rFonts w:asciiTheme="majorBidi" w:hAnsiTheme="majorBidi" w:cstheme="majorBidi"/>
          <w:sz w:val="24"/>
          <w:szCs w:val="24"/>
        </w:rPr>
        <w:t xml:space="preserve">This study offers three key theoretical contributions. First, the emergence of the ALE composite factor suggests that in AI-rich translation environments, </w:t>
      </w:r>
      <w:r w:rsidR="00796AB8" w:rsidRPr="00796AB8">
        <w:rPr>
          <w:rFonts w:asciiTheme="majorBidi" w:hAnsiTheme="majorBidi" w:cstheme="majorBidi"/>
          <w:sz w:val="24"/>
          <w:szCs w:val="24"/>
        </w:rPr>
        <w:t>perceived usefulness and self-regulated learning may converge into a single empirical factor rather than functioning as separate dimensions as classical TAM proposes</w:t>
      </w:r>
      <w:r w:rsidRPr="00390ED1">
        <w:rPr>
          <w:rFonts w:asciiTheme="majorBidi" w:hAnsiTheme="majorBidi" w:cstheme="majorBidi"/>
          <w:sz w:val="24"/>
          <w:szCs w:val="24"/>
        </w:rPr>
        <w:t>. Future research should test this preliminary structure using confirmatory factor analysis (CFA) across different EFL contexts.</w:t>
      </w:r>
    </w:p>
    <w:p w14:paraId="0B33D034" w14:textId="3107A020" w:rsidR="00390ED1" w:rsidRDefault="00390ED1" w:rsidP="00CE0242">
      <w:pPr>
        <w:spacing w:before="0" w:after="120" w:line="480" w:lineRule="auto"/>
        <w:rPr>
          <w:rFonts w:asciiTheme="majorBidi" w:hAnsiTheme="majorBidi" w:cstheme="majorBidi"/>
          <w:sz w:val="24"/>
          <w:szCs w:val="24"/>
        </w:rPr>
      </w:pPr>
      <w:r w:rsidRPr="00390ED1">
        <w:rPr>
          <w:rFonts w:asciiTheme="majorBidi" w:hAnsiTheme="majorBidi" w:cstheme="majorBidi"/>
          <w:sz w:val="24"/>
          <w:szCs w:val="24"/>
        </w:rPr>
        <w:t>Second, the clean separation of Teacher AI Integration (TAI), Cognitive Overreliance (CO), and Perceived Ease of Use (PEOU) supports the value of combining TAM, TPACK, and SRL. Each lens contributes a non-redundant dimension</w:t>
      </w:r>
      <w:r>
        <w:rPr>
          <w:rFonts w:asciiTheme="majorBidi" w:hAnsiTheme="majorBidi" w:cstheme="majorBidi"/>
          <w:sz w:val="24"/>
          <w:szCs w:val="24"/>
        </w:rPr>
        <w:t xml:space="preserve">, </w:t>
      </w:r>
      <w:r w:rsidRPr="00390ED1">
        <w:rPr>
          <w:rFonts w:asciiTheme="majorBidi" w:hAnsiTheme="majorBidi" w:cstheme="majorBidi"/>
          <w:sz w:val="24"/>
          <w:szCs w:val="24"/>
        </w:rPr>
        <w:t>technology acceptance, pedagogical practice, and metacognitive engagement</w:t>
      </w:r>
      <w:r>
        <w:rPr>
          <w:rFonts w:asciiTheme="majorBidi" w:hAnsiTheme="majorBidi" w:cstheme="majorBidi"/>
          <w:sz w:val="24"/>
          <w:szCs w:val="24"/>
        </w:rPr>
        <w:t xml:space="preserve">, </w:t>
      </w:r>
      <w:r w:rsidRPr="00390ED1">
        <w:rPr>
          <w:rFonts w:asciiTheme="majorBidi" w:hAnsiTheme="majorBidi" w:cstheme="majorBidi"/>
          <w:sz w:val="24"/>
          <w:szCs w:val="24"/>
        </w:rPr>
        <w:t>providing a more comprehensive account of AI learning than any single framework.</w:t>
      </w:r>
    </w:p>
    <w:p w14:paraId="32F7D5E7" w14:textId="5275C5D8" w:rsidR="00CE0242" w:rsidRPr="00CE0242" w:rsidRDefault="00390ED1" w:rsidP="00CE0242">
      <w:pPr>
        <w:spacing w:before="0" w:after="120" w:line="480" w:lineRule="auto"/>
        <w:rPr>
          <w:rFonts w:asciiTheme="majorBidi" w:hAnsiTheme="majorBidi" w:cstheme="majorBidi"/>
          <w:sz w:val="24"/>
          <w:szCs w:val="24"/>
        </w:rPr>
      </w:pPr>
      <w:r w:rsidRPr="00390ED1">
        <w:rPr>
          <w:rFonts w:asciiTheme="majorBidi" w:hAnsiTheme="majorBidi" w:cstheme="majorBidi"/>
          <w:sz w:val="24"/>
          <w:szCs w:val="24"/>
        </w:rPr>
        <w:lastRenderedPageBreak/>
        <w:t>Third, the study contributes context-specific evidence from Vietnamese higher education, demonstrating that high generative AI adoption can coexist with a high awareness of cognitive overreliance. This underscores the need for educational technology theories to account for local pedagogical cultures and assessment norms rather than assuming universal applicability.</w:t>
      </w:r>
    </w:p>
    <w:p w14:paraId="68D5CFB0" w14:textId="77777777" w:rsidR="00CE0242" w:rsidRPr="00CE0242" w:rsidRDefault="00CE0242" w:rsidP="00CE0242">
      <w:pPr>
        <w:spacing w:before="0" w:after="120" w:line="480" w:lineRule="auto"/>
        <w:ind w:firstLine="0"/>
        <w:rPr>
          <w:rFonts w:asciiTheme="majorBidi" w:hAnsiTheme="majorBidi" w:cstheme="majorBidi"/>
          <w:b/>
          <w:bCs/>
          <w:sz w:val="24"/>
          <w:szCs w:val="24"/>
        </w:rPr>
      </w:pPr>
      <w:r w:rsidRPr="00CE0242">
        <w:rPr>
          <w:rFonts w:asciiTheme="majorBidi" w:hAnsiTheme="majorBidi" w:cstheme="majorBidi"/>
          <w:b/>
          <w:bCs/>
          <w:sz w:val="24"/>
          <w:szCs w:val="24"/>
        </w:rPr>
        <w:t>5.7. Practical Implications</w:t>
      </w:r>
    </w:p>
    <w:p w14:paraId="6D8D8BCB" w14:textId="77777777" w:rsidR="00CE0242" w:rsidRPr="00727C5A" w:rsidRDefault="00CE0242" w:rsidP="00CE0242">
      <w:pPr>
        <w:spacing w:before="0" w:after="120" w:line="480" w:lineRule="auto"/>
        <w:rPr>
          <w:rFonts w:asciiTheme="majorBidi" w:hAnsiTheme="majorBidi" w:cstheme="majorBidi"/>
          <w:sz w:val="24"/>
          <w:szCs w:val="24"/>
        </w:rPr>
      </w:pPr>
      <w:r w:rsidRPr="00727C5A">
        <w:rPr>
          <w:rFonts w:asciiTheme="majorBidi" w:hAnsiTheme="majorBidi" w:cstheme="majorBidi"/>
          <w:sz w:val="24"/>
          <w:szCs w:val="24"/>
        </w:rPr>
        <w:t xml:space="preserve">The findings point </w:t>
      </w:r>
      <w:proofErr w:type="gramStart"/>
      <w:r w:rsidRPr="00727C5A">
        <w:rPr>
          <w:rFonts w:asciiTheme="majorBidi" w:hAnsiTheme="majorBidi" w:cstheme="majorBidi"/>
          <w:sz w:val="24"/>
          <w:szCs w:val="24"/>
        </w:rPr>
        <w:t>to</w:t>
      </w:r>
      <w:proofErr w:type="gramEnd"/>
      <w:r w:rsidRPr="00727C5A">
        <w:rPr>
          <w:rFonts w:asciiTheme="majorBidi" w:hAnsiTheme="majorBidi" w:cstheme="majorBidi"/>
          <w:sz w:val="24"/>
          <w:szCs w:val="24"/>
        </w:rPr>
        <w:t xml:space="preserve"> four practical directions for translation instruction at HUFLIT and comparable programmes.</w:t>
      </w:r>
    </w:p>
    <w:p w14:paraId="6A38EA6C" w14:textId="77777777" w:rsidR="00CE0242" w:rsidRPr="00727C5A" w:rsidRDefault="00CE0242" w:rsidP="00CE0242">
      <w:pPr>
        <w:spacing w:before="0" w:after="120" w:line="480" w:lineRule="auto"/>
        <w:rPr>
          <w:rFonts w:asciiTheme="majorBidi" w:hAnsiTheme="majorBidi" w:cstheme="majorBidi"/>
          <w:sz w:val="24"/>
          <w:szCs w:val="24"/>
        </w:rPr>
      </w:pPr>
      <w:r w:rsidRPr="00727C5A">
        <w:rPr>
          <w:rFonts w:asciiTheme="majorBidi" w:hAnsiTheme="majorBidi" w:cstheme="majorBidi"/>
          <w:sz w:val="24"/>
          <w:szCs w:val="24"/>
        </w:rPr>
        <w:t>First, given the pervasive AI use already documented, formal and intentional AI integration into translation syllabi is more productive than restriction. Tasks that require students to compare, evaluate, and justify AI output can transform AI from a shortcut into a trigger for critical reflection.</w:t>
      </w:r>
    </w:p>
    <w:p w14:paraId="24861EDB" w14:textId="77777777" w:rsidR="00CE0242" w:rsidRPr="00727C5A" w:rsidRDefault="00CE0242" w:rsidP="00CE0242">
      <w:pPr>
        <w:spacing w:before="0" w:after="120" w:line="480" w:lineRule="auto"/>
        <w:rPr>
          <w:rFonts w:asciiTheme="majorBidi" w:hAnsiTheme="majorBidi" w:cstheme="majorBidi"/>
          <w:sz w:val="24"/>
          <w:szCs w:val="24"/>
        </w:rPr>
      </w:pPr>
      <w:r w:rsidRPr="00727C5A">
        <w:rPr>
          <w:rFonts w:asciiTheme="majorBidi" w:hAnsiTheme="majorBidi" w:cstheme="majorBidi"/>
          <w:sz w:val="24"/>
          <w:szCs w:val="24"/>
        </w:rPr>
        <w:t>Second, the prominence of TAI highlights the need for systematic teacher development in AI literacy and TPACK. Teachers should be supported to design tasks that require critical engagement with AI, model responsible AI use, and communicate explicit guidelines on when AI is and is not appropriate.</w:t>
      </w:r>
    </w:p>
    <w:p w14:paraId="485A876F" w14:textId="77777777" w:rsidR="00CE0242" w:rsidRPr="00727C5A" w:rsidRDefault="00CE0242" w:rsidP="00CE0242">
      <w:pPr>
        <w:spacing w:before="0" w:after="120" w:line="480" w:lineRule="auto"/>
        <w:rPr>
          <w:rFonts w:asciiTheme="majorBidi" w:hAnsiTheme="majorBidi" w:cstheme="majorBidi"/>
          <w:sz w:val="24"/>
          <w:szCs w:val="24"/>
        </w:rPr>
      </w:pPr>
      <w:r w:rsidRPr="00727C5A">
        <w:rPr>
          <w:rFonts w:asciiTheme="majorBidi" w:hAnsiTheme="majorBidi" w:cstheme="majorBidi"/>
          <w:sz w:val="24"/>
          <w:szCs w:val="24"/>
        </w:rPr>
        <w:t>Third, the CO factor calls for direct instructional attention to AI dependence. Process-oriented assessment tools such as translation logs, revision comparisons, and AI-use reflection notes can shift grading focus from final products to decision-making quality, rewarding critical evaluation over unreflective reliance.</w:t>
      </w:r>
    </w:p>
    <w:p w14:paraId="2FC636B5" w14:textId="065B788C" w:rsidR="00722EDE" w:rsidRPr="00E40940" w:rsidRDefault="00CE0242" w:rsidP="00DF4D75">
      <w:pPr>
        <w:spacing w:before="0" w:after="120" w:line="480" w:lineRule="auto"/>
        <w:rPr>
          <w:rFonts w:asciiTheme="majorBidi" w:hAnsiTheme="majorBidi" w:cstheme="majorBidi"/>
          <w:sz w:val="24"/>
          <w:szCs w:val="24"/>
        </w:rPr>
      </w:pPr>
      <w:r w:rsidRPr="00727C5A">
        <w:rPr>
          <w:rFonts w:asciiTheme="majorBidi" w:hAnsiTheme="majorBidi" w:cstheme="majorBidi"/>
          <w:sz w:val="24"/>
          <w:szCs w:val="24"/>
        </w:rPr>
        <w:t xml:space="preserve">Fourth, the gap between functional ease of use and AI confidence suggests students need guided AI literacy training within translation courses: how to prompt effectively, evaluate AI feedback critically, recognise errors, and disclose AI assistance responsibly. At the institutional level, clear and context-sensitive AI policies, developed in dialogue with both </w:t>
      </w:r>
      <w:r w:rsidRPr="00727C5A">
        <w:rPr>
          <w:rFonts w:asciiTheme="majorBidi" w:hAnsiTheme="majorBidi" w:cstheme="majorBidi"/>
          <w:sz w:val="24"/>
          <w:szCs w:val="24"/>
        </w:rPr>
        <w:lastRenderedPageBreak/>
        <w:t>teachers and students, are essential to ensure that</w:t>
      </w:r>
      <w:r w:rsidRPr="00CE0242">
        <w:rPr>
          <w:rFonts w:asciiTheme="majorBidi" w:hAnsiTheme="majorBidi" w:cstheme="majorBidi"/>
          <w:sz w:val="24"/>
          <w:szCs w:val="24"/>
        </w:rPr>
        <w:t xml:space="preserve"> ethical AI use becomes a shared responsibility.</w:t>
      </w:r>
    </w:p>
    <w:p w14:paraId="622D8D8D" w14:textId="77777777" w:rsidR="00722EDE" w:rsidRPr="00E40940" w:rsidRDefault="00722EDE" w:rsidP="00F844C8">
      <w:pPr>
        <w:pStyle w:val="RALs-Heading1"/>
        <w:spacing w:before="0" w:after="120" w:line="480" w:lineRule="auto"/>
        <w:rPr>
          <w:rFonts w:asciiTheme="majorBidi" w:hAnsiTheme="majorBidi" w:cstheme="majorBidi"/>
          <w:sz w:val="24"/>
          <w:szCs w:val="24"/>
        </w:rPr>
      </w:pPr>
      <w:r w:rsidRPr="00E40940">
        <w:rPr>
          <w:rFonts w:asciiTheme="majorBidi" w:hAnsiTheme="majorBidi" w:cstheme="majorBidi"/>
          <w:sz w:val="24"/>
          <w:szCs w:val="24"/>
        </w:rPr>
        <w:t>6. Conclusion</w:t>
      </w:r>
    </w:p>
    <w:p w14:paraId="20FADEF5" w14:textId="77777777" w:rsidR="00CE0242" w:rsidRPr="00CE0242" w:rsidRDefault="00CE0242" w:rsidP="00CE0242">
      <w:pPr>
        <w:spacing w:before="0" w:after="120" w:line="480" w:lineRule="auto"/>
        <w:rPr>
          <w:rFonts w:asciiTheme="majorBidi" w:hAnsiTheme="majorBidi" w:cstheme="majorBidi"/>
          <w:sz w:val="24"/>
          <w:szCs w:val="24"/>
        </w:rPr>
      </w:pPr>
      <w:r w:rsidRPr="00CE0242">
        <w:rPr>
          <w:rFonts w:asciiTheme="majorBidi" w:hAnsiTheme="majorBidi" w:cstheme="majorBidi"/>
          <w:sz w:val="24"/>
          <w:szCs w:val="24"/>
        </w:rPr>
        <w:t>This study investigated HUFLIT English majors' perceptions of AI-supported EFL translation learning through an integrated TAM–TPACK–SRL framework, drawing on survey data from 219 students. The findings reveal that AI tools, particularly ChatGPT and Grammarly, have become widely and frequently adopted in translation learning, with students perceiving clear benefits in terms of translation quality, vocabulary development, error identification, and self-regulated engagement.</w:t>
      </w:r>
    </w:p>
    <w:p w14:paraId="534810C7" w14:textId="77777777" w:rsidR="00CE0242" w:rsidRPr="00CE0242" w:rsidRDefault="00CE0242" w:rsidP="00CE0242">
      <w:pPr>
        <w:spacing w:before="0" w:after="120" w:line="480" w:lineRule="auto"/>
        <w:rPr>
          <w:rFonts w:asciiTheme="majorBidi" w:hAnsiTheme="majorBidi" w:cstheme="majorBidi"/>
          <w:sz w:val="24"/>
          <w:szCs w:val="24"/>
        </w:rPr>
      </w:pPr>
      <w:r w:rsidRPr="00CE0242">
        <w:rPr>
          <w:rFonts w:asciiTheme="majorBidi" w:hAnsiTheme="majorBidi" w:cstheme="majorBidi"/>
          <w:sz w:val="24"/>
          <w:szCs w:val="24"/>
        </w:rPr>
        <w:t>The EFA results produced a four-factor empirical model, with the most notable finding being the emergence of AI Learning Engagement as a composite construct that merges perceived usefulness and self-regulated learning. This suggests that in the HUFLIT context, students experience AI's pedagogical value as inseparable from their own metacognitive processes of planning, monitoring, and reflecting. Teacher AI Integration, Cognitive Overreliance, and Perceived Ease of Use emerged as three additional independent factors, confirming that students perceive teacher guidance, dependence risks, and tool accessibility as distinct and meaningful dimensions of their AI-supported learning experience.</w:t>
      </w:r>
    </w:p>
    <w:p w14:paraId="0EB88FD7" w14:textId="4C4CA193" w:rsidR="00CE0242" w:rsidRPr="00CE0242" w:rsidRDefault="00CE0242" w:rsidP="00CE0242">
      <w:pPr>
        <w:spacing w:before="0" w:after="120" w:line="480" w:lineRule="auto"/>
        <w:rPr>
          <w:rFonts w:asciiTheme="majorBidi" w:hAnsiTheme="majorBidi" w:cstheme="majorBidi"/>
          <w:sz w:val="24"/>
          <w:szCs w:val="24"/>
        </w:rPr>
      </w:pPr>
      <w:r w:rsidRPr="00CE0242">
        <w:rPr>
          <w:rFonts w:asciiTheme="majorBidi" w:hAnsiTheme="majorBidi" w:cstheme="majorBidi"/>
          <w:sz w:val="24"/>
          <w:szCs w:val="24"/>
        </w:rPr>
        <w:t xml:space="preserve">These findings carry both theoretical and practical significance. </w:t>
      </w:r>
      <w:r w:rsidR="00796AB8" w:rsidRPr="00796AB8">
        <w:rPr>
          <w:rFonts w:asciiTheme="majorBidi" w:hAnsiTheme="majorBidi" w:cstheme="majorBidi"/>
          <w:sz w:val="24"/>
          <w:szCs w:val="24"/>
        </w:rPr>
        <w:t>Theoretically, the study contributes an empirically derived four-factor model and context-specific evidence for extending the TAM–TPACK–SRL framework in AI-supported translation education</w:t>
      </w:r>
      <w:r w:rsidRPr="00727C5A">
        <w:rPr>
          <w:rFonts w:asciiTheme="majorBidi" w:hAnsiTheme="majorBidi" w:cstheme="majorBidi"/>
          <w:sz w:val="24"/>
          <w:szCs w:val="24"/>
        </w:rPr>
        <w:t>. Practically, the results underscore the importance of moving beyond access to AI tools toward purposeful pedagogical integration, explicit AI literacy instruction, and clear institutional policies that support responsible use</w:t>
      </w:r>
      <w:r w:rsidRPr="00CE0242">
        <w:rPr>
          <w:rFonts w:asciiTheme="majorBidi" w:hAnsiTheme="majorBidi" w:cstheme="majorBidi"/>
          <w:sz w:val="24"/>
          <w:szCs w:val="24"/>
        </w:rPr>
        <w:t>.</w:t>
      </w:r>
    </w:p>
    <w:p w14:paraId="5972F402" w14:textId="77777777" w:rsidR="00CE0242" w:rsidRPr="00CE0242" w:rsidRDefault="00CE0242" w:rsidP="00CE0242">
      <w:pPr>
        <w:spacing w:before="0" w:after="120" w:line="480" w:lineRule="auto"/>
        <w:rPr>
          <w:rFonts w:asciiTheme="majorBidi" w:hAnsiTheme="majorBidi" w:cstheme="majorBidi"/>
          <w:sz w:val="24"/>
          <w:szCs w:val="24"/>
        </w:rPr>
      </w:pPr>
      <w:r w:rsidRPr="00CE0242">
        <w:rPr>
          <w:rFonts w:asciiTheme="majorBidi" w:hAnsiTheme="majorBidi" w:cstheme="majorBidi"/>
          <w:sz w:val="24"/>
          <w:szCs w:val="24"/>
        </w:rPr>
        <w:lastRenderedPageBreak/>
        <w:t xml:space="preserve">This study is not without limitations. The sample was drawn from a single institution and was predominantly composed of second-year students, which may limit the generalizability of the findings. Future research should expand the sample across multiple universities and academic </w:t>
      </w:r>
      <w:proofErr w:type="gramStart"/>
      <w:r w:rsidRPr="00CE0242">
        <w:rPr>
          <w:rFonts w:asciiTheme="majorBidi" w:hAnsiTheme="majorBidi" w:cstheme="majorBidi"/>
          <w:sz w:val="24"/>
          <w:szCs w:val="24"/>
        </w:rPr>
        <w:t>years, and</w:t>
      </w:r>
      <w:proofErr w:type="gramEnd"/>
      <w:r w:rsidRPr="00CE0242">
        <w:rPr>
          <w:rFonts w:asciiTheme="majorBidi" w:hAnsiTheme="majorBidi" w:cstheme="majorBidi"/>
          <w:sz w:val="24"/>
          <w:szCs w:val="24"/>
        </w:rPr>
        <w:t xml:space="preserve"> apply confirmatory factor analysis and structural equation modelling to further validate and extend the empirical model developed here.</w:t>
      </w:r>
    </w:p>
    <w:p w14:paraId="59D9A1A8" w14:textId="1DF6911C" w:rsidR="006505BE" w:rsidRPr="00CE0242" w:rsidRDefault="00CE0242" w:rsidP="00CE0242">
      <w:pPr>
        <w:spacing w:before="0" w:after="120" w:line="480" w:lineRule="auto"/>
        <w:rPr>
          <w:rFonts w:asciiTheme="majorBidi" w:hAnsiTheme="majorBidi" w:cstheme="majorBidi"/>
          <w:sz w:val="24"/>
          <w:szCs w:val="24"/>
        </w:rPr>
      </w:pPr>
      <w:r w:rsidRPr="00CE0242">
        <w:rPr>
          <w:rFonts w:asciiTheme="majorBidi" w:hAnsiTheme="majorBidi" w:cstheme="majorBidi"/>
          <w:sz w:val="24"/>
          <w:szCs w:val="24"/>
        </w:rPr>
        <w:t>Ultimately, this study positions AI not as a threat to translation learning but as a powerful pedagogical resource whose value depends critically on how it is taught, framed, and integrated. As Vietnam continues its transition toward English as a second language, ensuring that both teachers and students engage with AI critically, responsibly, and strategically will be essential for preparing the next generation of competent and autonomous translators.</w:t>
      </w:r>
    </w:p>
    <w:p w14:paraId="0D1BA0B9" w14:textId="77777777" w:rsidR="00722EDE" w:rsidRPr="00E40940" w:rsidRDefault="00722EDE" w:rsidP="00A97D55">
      <w:pPr>
        <w:pStyle w:val="RALs-Heading1"/>
        <w:jc w:val="left"/>
        <w:rPr>
          <w:rFonts w:asciiTheme="majorBidi" w:hAnsiTheme="majorBidi" w:cstheme="majorBidi"/>
          <w:sz w:val="24"/>
          <w:szCs w:val="24"/>
        </w:rPr>
      </w:pPr>
      <w:r w:rsidRPr="00E40940">
        <w:rPr>
          <w:rFonts w:asciiTheme="majorBidi" w:hAnsiTheme="majorBidi" w:cstheme="majorBidi"/>
          <w:sz w:val="24"/>
          <w:szCs w:val="24"/>
        </w:rPr>
        <w:t>References</w:t>
      </w:r>
    </w:p>
    <w:p w14:paraId="2490803E" w14:textId="0E1128FA" w:rsidR="00A20608" w:rsidRDefault="00A20608" w:rsidP="00DF4D75">
      <w:pPr>
        <w:pStyle w:val="RALs-ReferencesList"/>
        <w:ind w:left="720" w:hanging="720"/>
        <w:jc w:val="left"/>
        <w:rPr>
          <w:rFonts w:asciiTheme="majorBidi" w:hAnsiTheme="majorBidi" w:cstheme="majorBidi"/>
          <w:sz w:val="24"/>
          <w:szCs w:val="24"/>
        </w:rPr>
      </w:pPr>
      <w:r w:rsidRPr="00A20608">
        <w:rPr>
          <w:rFonts w:asciiTheme="majorBidi" w:hAnsiTheme="majorBidi" w:cstheme="majorBidi"/>
          <w:sz w:val="24"/>
          <w:szCs w:val="24"/>
        </w:rPr>
        <w:t>Alangari, T. S. (2025). The effect of AI-assisted learning on EFL writing proficiency: Quasi-experimental and cluster analysis. </w:t>
      </w:r>
      <w:r w:rsidRPr="00A20608">
        <w:rPr>
          <w:rFonts w:asciiTheme="majorBidi" w:hAnsiTheme="majorBidi" w:cstheme="majorBidi"/>
          <w:i/>
          <w:iCs/>
          <w:sz w:val="24"/>
          <w:szCs w:val="24"/>
        </w:rPr>
        <w:t>Educational Process: International Journal, 17</w:t>
      </w:r>
      <w:r w:rsidRPr="00A20608">
        <w:rPr>
          <w:rFonts w:asciiTheme="majorBidi" w:hAnsiTheme="majorBidi" w:cstheme="majorBidi"/>
          <w:sz w:val="24"/>
          <w:szCs w:val="24"/>
        </w:rPr>
        <w:t xml:space="preserve">, e2025345. </w:t>
      </w:r>
      <w:hyperlink r:id="rId11" w:history="1">
        <w:r w:rsidR="00291AF6" w:rsidRPr="00E81161">
          <w:rPr>
            <w:rStyle w:val="Hyperlink"/>
            <w:rFonts w:asciiTheme="majorBidi" w:hAnsiTheme="majorBidi" w:cstheme="majorBidi"/>
            <w:sz w:val="24"/>
            <w:szCs w:val="24"/>
          </w:rPr>
          <w:t>https://doi.org/10.22521/edupij.2025.17.345</w:t>
        </w:r>
      </w:hyperlink>
    </w:p>
    <w:p w14:paraId="56947FA6" w14:textId="7AD76794" w:rsidR="00A20608" w:rsidRDefault="00A20608" w:rsidP="00DF4D75">
      <w:pPr>
        <w:pStyle w:val="RALs-ReferencesList"/>
        <w:ind w:left="720" w:hanging="720"/>
        <w:jc w:val="left"/>
        <w:rPr>
          <w:rFonts w:asciiTheme="majorBidi" w:hAnsiTheme="majorBidi" w:cstheme="majorBidi"/>
          <w:sz w:val="24"/>
          <w:szCs w:val="24"/>
        </w:rPr>
      </w:pPr>
      <w:r w:rsidRPr="00A20608">
        <w:rPr>
          <w:rFonts w:asciiTheme="majorBidi" w:hAnsiTheme="majorBidi" w:cstheme="majorBidi"/>
          <w:sz w:val="24"/>
          <w:szCs w:val="24"/>
        </w:rPr>
        <w:t>Briggs, N. (2018). Neural machine translation tools in the language learning classroom: Students' use, perceptions, and analyses. </w:t>
      </w:r>
      <w:r w:rsidRPr="00A20608">
        <w:rPr>
          <w:rFonts w:asciiTheme="majorBidi" w:hAnsiTheme="majorBidi" w:cstheme="majorBidi"/>
          <w:i/>
          <w:iCs/>
          <w:sz w:val="24"/>
          <w:szCs w:val="24"/>
        </w:rPr>
        <w:t>JALT CALL Journal, 14</w:t>
      </w:r>
      <w:r w:rsidRPr="00A20608">
        <w:rPr>
          <w:rFonts w:asciiTheme="majorBidi" w:hAnsiTheme="majorBidi" w:cstheme="majorBidi"/>
          <w:sz w:val="24"/>
          <w:szCs w:val="24"/>
        </w:rPr>
        <w:t xml:space="preserve">(1), 3–24. </w:t>
      </w:r>
      <w:hyperlink r:id="rId12" w:history="1">
        <w:r w:rsidR="00291AF6" w:rsidRPr="00E81161">
          <w:rPr>
            <w:rStyle w:val="Hyperlink"/>
            <w:rFonts w:asciiTheme="majorBidi" w:hAnsiTheme="majorBidi" w:cstheme="majorBidi"/>
            <w:sz w:val="24"/>
            <w:szCs w:val="24"/>
          </w:rPr>
          <w:t>https://doi.org/10.29140/jaltcall.v14n1.221</w:t>
        </w:r>
      </w:hyperlink>
    </w:p>
    <w:p w14:paraId="6D7E9477" w14:textId="5193F268" w:rsidR="00A20608" w:rsidRDefault="00A20608" w:rsidP="00A20608">
      <w:pPr>
        <w:pStyle w:val="RALs-ReferencesList"/>
        <w:ind w:left="720" w:hanging="720"/>
        <w:jc w:val="left"/>
        <w:rPr>
          <w:rFonts w:asciiTheme="majorBidi" w:hAnsiTheme="majorBidi" w:cstheme="majorBidi"/>
          <w:sz w:val="24"/>
          <w:szCs w:val="24"/>
        </w:rPr>
      </w:pPr>
      <w:r w:rsidRPr="00A20608">
        <w:rPr>
          <w:rFonts w:asciiTheme="majorBidi" w:hAnsiTheme="majorBidi" w:cstheme="majorBidi"/>
          <w:sz w:val="24"/>
          <w:szCs w:val="24"/>
        </w:rPr>
        <w:t xml:space="preserve">Compagnoni, A. (2025). </w:t>
      </w:r>
      <w:r w:rsidR="00874E3F" w:rsidRPr="00874E3F">
        <w:rPr>
          <w:rFonts w:asciiTheme="majorBidi" w:hAnsiTheme="majorBidi" w:cstheme="majorBidi"/>
          <w:sz w:val="24"/>
          <w:szCs w:val="24"/>
        </w:rPr>
        <w:t>Ethical Frontiers of AI in Language Pedagogy: Navigating Transparency, Accountability, and Equity</w:t>
      </w:r>
      <w:r w:rsidRPr="00A20608">
        <w:rPr>
          <w:rFonts w:asciiTheme="majorBidi" w:hAnsiTheme="majorBidi" w:cstheme="majorBidi"/>
          <w:sz w:val="24"/>
          <w:szCs w:val="24"/>
        </w:rPr>
        <w:t>. </w:t>
      </w:r>
      <w:r w:rsidRPr="00A20608">
        <w:rPr>
          <w:rFonts w:asciiTheme="majorBidi" w:hAnsiTheme="majorBidi" w:cstheme="majorBidi"/>
          <w:i/>
          <w:iCs/>
          <w:sz w:val="24"/>
          <w:szCs w:val="24"/>
        </w:rPr>
        <w:t>International Journal of Linguistics, 17</w:t>
      </w:r>
      <w:r w:rsidRPr="00A20608">
        <w:rPr>
          <w:rFonts w:asciiTheme="majorBidi" w:hAnsiTheme="majorBidi" w:cstheme="majorBidi"/>
          <w:sz w:val="24"/>
          <w:szCs w:val="24"/>
        </w:rPr>
        <w:t xml:space="preserve">(4), 45–62. </w:t>
      </w:r>
      <w:hyperlink r:id="rId13" w:history="1">
        <w:r w:rsidR="00291AF6" w:rsidRPr="00E81161">
          <w:rPr>
            <w:rStyle w:val="Hyperlink"/>
            <w:rFonts w:asciiTheme="majorBidi" w:hAnsiTheme="majorBidi" w:cstheme="majorBidi"/>
            <w:sz w:val="24"/>
            <w:szCs w:val="24"/>
          </w:rPr>
          <w:t>https://doi.org/10.5296/ijl.v17i4.22768</w:t>
        </w:r>
      </w:hyperlink>
    </w:p>
    <w:p w14:paraId="2C129610" w14:textId="6CDD70D5" w:rsidR="00A20608" w:rsidRDefault="00A20608" w:rsidP="00A20608">
      <w:pPr>
        <w:pStyle w:val="RALs-ReferencesList"/>
        <w:ind w:left="720" w:hanging="720"/>
        <w:jc w:val="left"/>
        <w:rPr>
          <w:rFonts w:asciiTheme="majorBidi" w:hAnsiTheme="majorBidi" w:cstheme="majorBidi"/>
          <w:sz w:val="24"/>
          <w:szCs w:val="24"/>
        </w:rPr>
      </w:pPr>
      <w:r w:rsidRPr="00A20608">
        <w:rPr>
          <w:rFonts w:asciiTheme="majorBidi" w:hAnsiTheme="majorBidi" w:cstheme="majorBidi"/>
          <w:sz w:val="24"/>
          <w:szCs w:val="24"/>
        </w:rPr>
        <w:t>Davis, F. D. (1989). Perceived usefulness, perceived ease of use, and user acceptance of information technology. </w:t>
      </w:r>
      <w:r w:rsidRPr="00A20608">
        <w:rPr>
          <w:rFonts w:asciiTheme="majorBidi" w:hAnsiTheme="majorBidi" w:cstheme="majorBidi"/>
          <w:i/>
          <w:iCs/>
          <w:sz w:val="24"/>
          <w:szCs w:val="24"/>
        </w:rPr>
        <w:t>MIS Quarterly, 13</w:t>
      </w:r>
      <w:r w:rsidRPr="00A20608">
        <w:rPr>
          <w:rFonts w:asciiTheme="majorBidi" w:hAnsiTheme="majorBidi" w:cstheme="majorBidi"/>
          <w:sz w:val="24"/>
          <w:szCs w:val="24"/>
        </w:rPr>
        <w:t xml:space="preserve">(3), 319–340. </w:t>
      </w:r>
      <w:hyperlink r:id="rId14" w:history="1">
        <w:r w:rsidR="00291AF6" w:rsidRPr="00E81161">
          <w:rPr>
            <w:rStyle w:val="Hyperlink"/>
            <w:rFonts w:asciiTheme="majorBidi" w:hAnsiTheme="majorBidi" w:cstheme="majorBidi"/>
            <w:sz w:val="24"/>
            <w:szCs w:val="24"/>
          </w:rPr>
          <w:t>https://doi.org/10.2307/249008</w:t>
        </w:r>
      </w:hyperlink>
    </w:p>
    <w:p w14:paraId="6013AEF7" w14:textId="77777777" w:rsidR="00A20608" w:rsidRPr="00A20608" w:rsidRDefault="00A20608" w:rsidP="00A20608">
      <w:pPr>
        <w:pStyle w:val="RALs-ReferencesList"/>
        <w:ind w:left="720" w:hanging="720"/>
        <w:jc w:val="left"/>
        <w:rPr>
          <w:rFonts w:asciiTheme="majorBidi" w:hAnsiTheme="majorBidi" w:cstheme="majorBidi"/>
          <w:sz w:val="24"/>
          <w:szCs w:val="24"/>
        </w:rPr>
      </w:pPr>
      <w:r w:rsidRPr="00A20608">
        <w:rPr>
          <w:rFonts w:asciiTheme="majorBidi" w:hAnsiTheme="majorBidi" w:cstheme="majorBidi"/>
          <w:sz w:val="24"/>
          <w:szCs w:val="24"/>
        </w:rPr>
        <w:t>Hair, J. F., Black, W. C., Babin, B. J., &amp; Anderson, R. E. (2019). </w:t>
      </w:r>
      <w:r w:rsidRPr="00A20608">
        <w:rPr>
          <w:rFonts w:asciiTheme="majorBidi" w:hAnsiTheme="majorBidi" w:cstheme="majorBidi"/>
          <w:i/>
          <w:iCs/>
          <w:sz w:val="24"/>
          <w:szCs w:val="24"/>
        </w:rPr>
        <w:t>Multivariate data analysis</w:t>
      </w:r>
      <w:r w:rsidRPr="00A20608">
        <w:rPr>
          <w:rFonts w:asciiTheme="majorBidi" w:hAnsiTheme="majorBidi" w:cstheme="majorBidi"/>
          <w:sz w:val="24"/>
          <w:szCs w:val="24"/>
        </w:rPr>
        <w:t> (8th ed.). Cengage Learning.</w:t>
      </w:r>
    </w:p>
    <w:p w14:paraId="2EF63D19" w14:textId="52163CE6" w:rsidR="006E374B" w:rsidRDefault="006E374B" w:rsidP="006E374B">
      <w:pPr>
        <w:pStyle w:val="RALs-ReferencesList"/>
        <w:ind w:left="720" w:hanging="720"/>
        <w:jc w:val="left"/>
        <w:rPr>
          <w:rFonts w:asciiTheme="majorBidi" w:hAnsiTheme="majorBidi" w:cstheme="majorBidi"/>
          <w:sz w:val="24"/>
          <w:szCs w:val="24"/>
        </w:rPr>
      </w:pPr>
      <w:r>
        <w:rPr>
          <w:rFonts w:asciiTheme="majorBidi" w:hAnsiTheme="majorBidi" w:cstheme="majorBidi"/>
          <w:sz w:val="24"/>
          <w:szCs w:val="24"/>
        </w:rPr>
        <w:t>Lam</w:t>
      </w:r>
      <w:r w:rsidRPr="00A20608">
        <w:rPr>
          <w:rFonts w:asciiTheme="majorBidi" w:hAnsiTheme="majorBidi" w:cstheme="majorBidi"/>
          <w:sz w:val="24"/>
          <w:szCs w:val="24"/>
        </w:rPr>
        <w:t>,</w:t>
      </w:r>
      <w:r>
        <w:rPr>
          <w:rFonts w:asciiTheme="majorBidi" w:hAnsiTheme="majorBidi" w:cstheme="majorBidi"/>
          <w:sz w:val="24"/>
          <w:szCs w:val="24"/>
        </w:rPr>
        <w:t xml:space="preserve"> N. K, Nguyen, H. T. M., Luong, Q. V. N</w:t>
      </w:r>
      <w:r w:rsidRPr="00A20608">
        <w:rPr>
          <w:rFonts w:asciiTheme="majorBidi" w:hAnsiTheme="majorBidi" w:cstheme="majorBidi"/>
          <w:sz w:val="24"/>
          <w:szCs w:val="24"/>
        </w:rPr>
        <w:t>. (2025). Leveraging AI for writing instruction in EFL classrooms: Opportunities and challenges. </w:t>
      </w:r>
      <w:r w:rsidRPr="00A20608">
        <w:rPr>
          <w:rFonts w:asciiTheme="majorBidi" w:hAnsiTheme="majorBidi" w:cstheme="majorBidi"/>
          <w:i/>
          <w:iCs/>
          <w:sz w:val="24"/>
          <w:szCs w:val="24"/>
        </w:rPr>
        <w:t>Educational Process: International Journal, 15</w:t>
      </w:r>
      <w:r w:rsidRPr="00A20608">
        <w:rPr>
          <w:rFonts w:asciiTheme="majorBidi" w:hAnsiTheme="majorBidi" w:cstheme="majorBidi"/>
          <w:sz w:val="24"/>
          <w:szCs w:val="24"/>
        </w:rPr>
        <w:t xml:space="preserve">, e2025158. </w:t>
      </w:r>
      <w:hyperlink r:id="rId15" w:history="1">
        <w:r w:rsidRPr="00E81161">
          <w:rPr>
            <w:rStyle w:val="Hyperlink"/>
            <w:rFonts w:asciiTheme="majorBidi" w:hAnsiTheme="majorBidi" w:cstheme="majorBidi"/>
            <w:sz w:val="24"/>
            <w:szCs w:val="24"/>
          </w:rPr>
          <w:t>https://doi.org/10.22521/edupij.2025.15.158</w:t>
        </w:r>
      </w:hyperlink>
    </w:p>
    <w:p w14:paraId="2D08AD6D" w14:textId="70EF7F5E" w:rsidR="00A20608" w:rsidRPr="00A20608" w:rsidRDefault="00A20608" w:rsidP="00A20608">
      <w:pPr>
        <w:pStyle w:val="RALs-ReferencesList"/>
        <w:ind w:left="720" w:hanging="720"/>
        <w:jc w:val="left"/>
        <w:rPr>
          <w:rFonts w:asciiTheme="majorBidi" w:hAnsiTheme="majorBidi" w:cstheme="majorBidi"/>
          <w:sz w:val="24"/>
          <w:szCs w:val="24"/>
        </w:rPr>
      </w:pPr>
      <w:r w:rsidRPr="00A20608">
        <w:rPr>
          <w:rFonts w:asciiTheme="majorBidi" w:hAnsiTheme="majorBidi" w:cstheme="majorBidi"/>
          <w:sz w:val="24"/>
          <w:szCs w:val="24"/>
        </w:rPr>
        <w:t>Lee, N. H. (2024). EFL students' perceptions of Google Translate in translation classes. </w:t>
      </w:r>
      <w:r w:rsidRPr="00A20608">
        <w:rPr>
          <w:rFonts w:asciiTheme="majorBidi" w:hAnsiTheme="majorBidi" w:cstheme="majorBidi"/>
          <w:i/>
          <w:iCs/>
          <w:sz w:val="24"/>
          <w:szCs w:val="24"/>
        </w:rPr>
        <w:t>IDEAS: Journal of English Language Teaching and Learning, Linguistics and Literature, 12</w:t>
      </w:r>
      <w:r w:rsidRPr="00A20608">
        <w:rPr>
          <w:rFonts w:asciiTheme="majorBidi" w:hAnsiTheme="majorBidi" w:cstheme="majorBidi"/>
          <w:sz w:val="24"/>
          <w:szCs w:val="24"/>
        </w:rPr>
        <w:t>(1), 23–36.</w:t>
      </w:r>
    </w:p>
    <w:p w14:paraId="40F20032" w14:textId="77777777" w:rsidR="00A20608" w:rsidRPr="00A20608" w:rsidRDefault="00A20608" w:rsidP="00A20608">
      <w:pPr>
        <w:pStyle w:val="RALs-ReferencesList"/>
        <w:ind w:left="720" w:hanging="720"/>
        <w:jc w:val="left"/>
        <w:rPr>
          <w:rFonts w:asciiTheme="majorBidi" w:hAnsiTheme="majorBidi" w:cstheme="majorBidi"/>
          <w:sz w:val="24"/>
          <w:szCs w:val="24"/>
        </w:rPr>
      </w:pPr>
      <w:r w:rsidRPr="00A20608">
        <w:rPr>
          <w:rFonts w:asciiTheme="majorBidi" w:hAnsiTheme="majorBidi" w:cstheme="majorBidi"/>
          <w:sz w:val="24"/>
          <w:szCs w:val="24"/>
        </w:rPr>
        <w:lastRenderedPageBreak/>
        <w:t>Manzoor, H., &amp; Jamil, M. (2025). Artificial intelligence in English language learning: A systematic review. </w:t>
      </w:r>
      <w:r w:rsidRPr="00A20608">
        <w:rPr>
          <w:rFonts w:asciiTheme="majorBidi" w:hAnsiTheme="majorBidi" w:cstheme="majorBidi"/>
          <w:i/>
          <w:iCs/>
          <w:sz w:val="24"/>
          <w:szCs w:val="24"/>
        </w:rPr>
        <w:t>International Journal of Educational Technology in Higher Education, 22</w:t>
      </w:r>
      <w:r w:rsidRPr="00A20608">
        <w:rPr>
          <w:rFonts w:asciiTheme="majorBidi" w:hAnsiTheme="majorBidi" w:cstheme="majorBidi"/>
          <w:sz w:val="24"/>
          <w:szCs w:val="24"/>
        </w:rPr>
        <w:t>(1), 1–28.</w:t>
      </w:r>
    </w:p>
    <w:p w14:paraId="1EFE5096" w14:textId="77777777" w:rsidR="00A20608" w:rsidRPr="00A20608" w:rsidRDefault="00A20608" w:rsidP="00A20608">
      <w:pPr>
        <w:pStyle w:val="RALs-ReferencesList"/>
        <w:ind w:left="720" w:hanging="720"/>
        <w:jc w:val="left"/>
        <w:rPr>
          <w:rFonts w:asciiTheme="majorBidi" w:hAnsiTheme="majorBidi" w:cstheme="majorBidi"/>
          <w:sz w:val="24"/>
          <w:szCs w:val="24"/>
        </w:rPr>
      </w:pPr>
      <w:r w:rsidRPr="00A20608">
        <w:rPr>
          <w:rFonts w:asciiTheme="majorBidi" w:hAnsiTheme="majorBidi" w:cstheme="majorBidi"/>
          <w:sz w:val="24"/>
          <w:szCs w:val="24"/>
        </w:rPr>
        <w:t>Mishra, P., &amp; Koehler, M. J. (2006). Technological pedagogical content knowledge: A framework for teacher knowledge. </w:t>
      </w:r>
      <w:r w:rsidRPr="00A20608">
        <w:rPr>
          <w:rFonts w:asciiTheme="majorBidi" w:hAnsiTheme="majorBidi" w:cstheme="majorBidi"/>
          <w:i/>
          <w:iCs/>
          <w:sz w:val="24"/>
          <w:szCs w:val="24"/>
        </w:rPr>
        <w:t>Teachers College Record, 108</w:t>
      </w:r>
      <w:r w:rsidRPr="00A20608">
        <w:rPr>
          <w:rFonts w:asciiTheme="majorBidi" w:hAnsiTheme="majorBidi" w:cstheme="majorBidi"/>
          <w:sz w:val="24"/>
          <w:szCs w:val="24"/>
        </w:rPr>
        <w:t>(6), 1017–1054.</w:t>
      </w:r>
    </w:p>
    <w:p w14:paraId="1D665CD7" w14:textId="77777777" w:rsidR="00A20608" w:rsidRPr="00A20608" w:rsidRDefault="00A20608" w:rsidP="00A20608">
      <w:pPr>
        <w:pStyle w:val="RALs-ReferencesList"/>
        <w:ind w:left="720" w:hanging="720"/>
        <w:jc w:val="left"/>
        <w:rPr>
          <w:rFonts w:asciiTheme="majorBidi" w:hAnsiTheme="majorBidi" w:cstheme="majorBidi"/>
          <w:sz w:val="24"/>
          <w:szCs w:val="24"/>
        </w:rPr>
      </w:pPr>
      <w:r w:rsidRPr="00A20608">
        <w:rPr>
          <w:rFonts w:asciiTheme="majorBidi" w:hAnsiTheme="majorBidi" w:cstheme="majorBidi"/>
          <w:sz w:val="24"/>
          <w:szCs w:val="24"/>
        </w:rPr>
        <w:t>O'Brien, S. (2022). Machine translation and post-editing in language education. </w:t>
      </w:r>
      <w:r w:rsidRPr="00A20608">
        <w:rPr>
          <w:rFonts w:asciiTheme="majorBidi" w:hAnsiTheme="majorBidi" w:cstheme="majorBidi"/>
          <w:i/>
          <w:iCs/>
          <w:sz w:val="24"/>
          <w:szCs w:val="24"/>
        </w:rPr>
        <w:t>Translation Spaces, 11</w:t>
      </w:r>
      <w:r w:rsidRPr="00A20608">
        <w:rPr>
          <w:rFonts w:asciiTheme="majorBidi" w:hAnsiTheme="majorBidi" w:cstheme="majorBidi"/>
          <w:sz w:val="24"/>
          <w:szCs w:val="24"/>
        </w:rPr>
        <w:t>(2), 245–269.</w:t>
      </w:r>
    </w:p>
    <w:p w14:paraId="7B046F7B" w14:textId="325079B4" w:rsidR="00A20608" w:rsidRDefault="00A20608" w:rsidP="00A20608">
      <w:pPr>
        <w:pStyle w:val="RALs-ReferencesList"/>
        <w:ind w:left="720" w:hanging="720"/>
        <w:jc w:val="left"/>
        <w:rPr>
          <w:rFonts w:asciiTheme="majorBidi" w:hAnsiTheme="majorBidi" w:cstheme="majorBidi"/>
          <w:sz w:val="24"/>
          <w:szCs w:val="24"/>
        </w:rPr>
      </w:pPr>
      <w:r w:rsidRPr="00A20608">
        <w:rPr>
          <w:rFonts w:asciiTheme="majorBidi" w:hAnsiTheme="majorBidi" w:cstheme="majorBidi"/>
          <w:sz w:val="24"/>
          <w:szCs w:val="24"/>
        </w:rPr>
        <w:t>Pastor, D. G. (2021). Introducing machine translation in the translation classroom: A survey on students' attitudes and perceptions. </w:t>
      </w:r>
      <w:r w:rsidRPr="00A20608">
        <w:rPr>
          <w:rFonts w:asciiTheme="majorBidi" w:hAnsiTheme="majorBidi" w:cstheme="majorBidi"/>
          <w:i/>
          <w:iCs/>
          <w:sz w:val="24"/>
          <w:szCs w:val="24"/>
        </w:rPr>
        <w:t>Tradumàtica, 19</w:t>
      </w:r>
      <w:r w:rsidRPr="00A20608">
        <w:rPr>
          <w:rFonts w:asciiTheme="majorBidi" w:hAnsiTheme="majorBidi" w:cstheme="majorBidi"/>
          <w:sz w:val="24"/>
          <w:szCs w:val="24"/>
        </w:rPr>
        <w:t xml:space="preserve">, 47–65. </w:t>
      </w:r>
      <w:hyperlink r:id="rId16" w:history="1">
        <w:r w:rsidR="00291AF6" w:rsidRPr="00E81161">
          <w:rPr>
            <w:rStyle w:val="Hyperlink"/>
            <w:rFonts w:asciiTheme="majorBidi" w:hAnsiTheme="majorBidi" w:cstheme="majorBidi"/>
            <w:sz w:val="24"/>
            <w:szCs w:val="24"/>
          </w:rPr>
          <w:t>https://doi.org/10.5565/rev/tradumatica.273</w:t>
        </w:r>
      </w:hyperlink>
    </w:p>
    <w:p w14:paraId="7435B78B" w14:textId="77777777" w:rsidR="00A20608" w:rsidRPr="00A20608" w:rsidRDefault="00A20608" w:rsidP="00A20608">
      <w:pPr>
        <w:pStyle w:val="RALs-ReferencesList"/>
        <w:ind w:left="720" w:hanging="720"/>
        <w:jc w:val="left"/>
        <w:rPr>
          <w:rFonts w:asciiTheme="majorBidi" w:hAnsiTheme="majorBidi" w:cstheme="majorBidi"/>
          <w:sz w:val="24"/>
          <w:szCs w:val="24"/>
        </w:rPr>
      </w:pPr>
      <w:r w:rsidRPr="00A20608">
        <w:rPr>
          <w:rFonts w:asciiTheme="majorBidi" w:hAnsiTheme="majorBidi" w:cstheme="majorBidi"/>
          <w:sz w:val="24"/>
          <w:szCs w:val="24"/>
        </w:rPr>
        <w:t>Pawestri, U., &amp; Pratolo, B. W. (2024). Artificial intelligence (AI) for EFL writing skills: Systematic literature review. </w:t>
      </w:r>
      <w:r w:rsidRPr="00A20608">
        <w:rPr>
          <w:rFonts w:asciiTheme="majorBidi" w:hAnsiTheme="majorBidi" w:cstheme="majorBidi"/>
          <w:i/>
          <w:iCs/>
          <w:sz w:val="24"/>
          <w:szCs w:val="24"/>
        </w:rPr>
        <w:t>Ahmad Dahlan Journal of English Studies, 11</w:t>
      </w:r>
      <w:r w:rsidRPr="00A20608">
        <w:rPr>
          <w:rFonts w:asciiTheme="majorBidi" w:hAnsiTheme="majorBidi" w:cstheme="majorBidi"/>
          <w:sz w:val="24"/>
          <w:szCs w:val="24"/>
        </w:rPr>
        <w:t>(1), 15–30.</w:t>
      </w:r>
    </w:p>
    <w:p w14:paraId="4BCF450F" w14:textId="0C218B03" w:rsidR="00A20608" w:rsidRDefault="00A20608" w:rsidP="00A20608">
      <w:pPr>
        <w:pStyle w:val="RALs-ReferencesList"/>
        <w:ind w:left="720" w:hanging="720"/>
        <w:jc w:val="left"/>
        <w:rPr>
          <w:rFonts w:asciiTheme="majorBidi" w:hAnsiTheme="majorBidi" w:cstheme="majorBidi"/>
          <w:sz w:val="24"/>
          <w:szCs w:val="24"/>
        </w:rPr>
      </w:pPr>
      <w:r w:rsidRPr="00A20608">
        <w:rPr>
          <w:rFonts w:asciiTheme="majorBidi" w:hAnsiTheme="majorBidi" w:cstheme="majorBidi"/>
          <w:sz w:val="24"/>
          <w:szCs w:val="24"/>
        </w:rPr>
        <w:t>Ren, X., &amp; Wang, R. (2025). Integrating human–AI collaboration into translation education: A comprehensive protocol for assessment, diagnosis, and strategy development. </w:t>
      </w:r>
      <w:r w:rsidRPr="00A20608">
        <w:rPr>
          <w:rFonts w:asciiTheme="majorBidi" w:hAnsiTheme="majorBidi" w:cstheme="majorBidi"/>
          <w:i/>
          <w:iCs/>
          <w:sz w:val="24"/>
          <w:szCs w:val="24"/>
        </w:rPr>
        <w:t>PLOS ONE, 20</w:t>
      </w:r>
      <w:r w:rsidRPr="00A20608">
        <w:rPr>
          <w:rFonts w:asciiTheme="majorBidi" w:hAnsiTheme="majorBidi" w:cstheme="majorBidi"/>
          <w:sz w:val="24"/>
          <w:szCs w:val="24"/>
        </w:rPr>
        <w:t xml:space="preserve">(1), e0338089. </w:t>
      </w:r>
      <w:hyperlink r:id="rId17" w:history="1">
        <w:r w:rsidR="00291AF6" w:rsidRPr="00E81161">
          <w:rPr>
            <w:rStyle w:val="Hyperlink"/>
            <w:rFonts w:asciiTheme="majorBidi" w:hAnsiTheme="majorBidi" w:cstheme="majorBidi"/>
            <w:sz w:val="24"/>
            <w:szCs w:val="24"/>
          </w:rPr>
          <w:t>https://doi.org/10.1371/journal.pone.0338089</w:t>
        </w:r>
      </w:hyperlink>
    </w:p>
    <w:p w14:paraId="1D0E7903" w14:textId="5A08459F" w:rsidR="0054153C" w:rsidRDefault="0054153C" w:rsidP="0054153C">
      <w:pPr>
        <w:pStyle w:val="RALs-ReferencesList"/>
        <w:ind w:left="720" w:hanging="720"/>
        <w:jc w:val="left"/>
        <w:rPr>
          <w:rFonts w:asciiTheme="majorBidi" w:hAnsiTheme="majorBidi" w:cstheme="majorBidi"/>
          <w:sz w:val="24"/>
          <w:szCs w:val="24"/>
        </w:rPr>
      </w:pPr>
      <w:r w:rsidRPr="0054153C">
        <w:rPr>
          <w:rFonts w:asciiTheme="majorBidi" w:hAnsiTheme="majorBidi" w:cstheme="majorBidi"/>
          <w:sz w:val="24"/>
          <w:szCs w:val="24"/>
        </w:rPr>
        <w:t xml:space="preserve">Saud, D. S. (2025). Generative AI in English Language Teaching: Opportunities and Challenges. </w:t>
      </w:r>
      <w:r w:rsidRPr="00FC0209">
        <w:rPr>
          <w:rFonts w:asciiTheme="majorBidi" w:hAnsiTheme="majorBidi" w:cstheme="majorBidi"/>
          <w:i/>
          <w:iCs/>
          <w:sz w:val="24"/>
          <w:szCs w:val="24"/>
        </w:rPr>
        <w:t>Journal of Jayaprithvi Multiple Campus</w:t>
      </w:r>
      <w:r w:rsidR="00FC0209">
        <w:rPr>
          <w:rFonts w:asciiTheme="majorBidi" w:hAnsiTheme="majorBidi" w:cstheme="majorBidi"/>
          <w:sz w:val="24"/>
          <w:szCs w:val="24"/>
        </w:rPr>
        <w:t xml:space="preserve">, </w:t>
      </w:r>
      <w:r w:rsidR="00FC0209" w:rsidRPr="00FC0209">
        <w:rPr>
          <w:rFonts w:asciiTheme="majorBidi" w:hAnsiTheme="majorBidi" w:cstheme="majorBidi"/>
          <w:i/>
          <w:iCs/>
          <w:sz w:val="24"/>
          <w:szCs w:val="24"/>
        </w:rPr>
        <w:t>1</w:t>
      </w:r>
      <w:r w:rsidR="00FC0209">
        <w:rPr>
          <w:rFonts w:asciiTheme="majorBidi" w:hAnsiTheme="majorBidi" w:cstheme="majorBidi"/>
          <w:sz w:val="24"/>
          <w:szCs w:val="24"/>
        </w:rPr>
        <w:t>,</w:t>
      </w:r>
      <w:r w:rsidRPr="0054153C">
        <w:rPr>
          <w:rFonts w:asciiTheme="majorBidi" w:hAnsiTheme="majorBidi" w:cstheme="majorBidi"/>
          <w:sz w:val="24"/>
          <w:szCs w:val="24"/>
        </w:rPr>
        <w:t xml:space="preserve"> </w:t>
      </w:r>
      <w:r w:rsidR="00FC0209">
        <w:rPr>
          <w:rFonts w:asciiTheme="majorBidi" w:hAnsiTheme="majorBidi" w:cstheme="majorBidi"/>
          <w:sz w:val="24"/>
          <w:szCs w:val="24"/>
        </w:rPr>
        <w:t xml:space="preserve">44-59. </w:t>
      </w:r>
      <w:hyperlink r:id="rId18" w:history="1">
        <w:r w:rsidR="00FC0209" w:rsidRPr="005C4287">
          <w:rPr>
            <w:rStyle w:val="Hyperlink"/>
            <w:rFonts w:asciiTheme="majorBidi" w:hAnsiTheme="majorBidi" w:cstheme="majorBidi"/>
            <w:sz w:val="24"/>
            <w:szCs w:val="24"/>
          </w:rPr>
          <w:t>https://doi.org/10.3126/JJMC2.V1I1.81437</w:t>
        </w:r>
      </w:hyperlink>
    </w:p>
    <w:p w14:paraId="69992A23" w14:textId="4A8E4BB2" w:rsidR="00A20608" w:rsidRDefault="00A20608" w:rsidP="00A20608">
      <w:pPr>
        <w:pStyle w:val="RALs-ReferencesList"/>
        <w:ind w:left="720" w:hanging="720"/>
        <w:jc w:val="left"/>
        <w:rPr>
          <w:rFonts w:asciiTheme="majorBidi" w:hAnsiTheme="majorBidi" w:cstheme="majorBidi"/>
          <w:sz w:val="24"/>
          <w:szCs w:val="24"/>
        </w:rPr>
      </w:pPr>
      <w:r w:rsidRPr="00A20608">
        <w:rPr>
          <w:rFonts w:asciiTheme="majorBidi" w:hAnsiTheme="majorBidi" w:cstheme="majorBidi"/>
          <w:sz w:val="24"/>
          <w:szCs w:val="24"/>
        </w:rPr>
        <w:t>Suastika, I. G. N. (2024). Exploring students' perceptions of Google Translate as AI-assisted translation in Indonesian vocational high school. </w:t>
      </w:r>
      <w:r w:rsidRPr="00A20608">
        <w:rPr>
          <w:rFonts w:asciiTheme="majorBidi" w:hAnsiTheme="majorBidi" w:cstheme="majorBidi"/>
          <w:i/>
          <w:iCs/>
          <w:sz w:val="24"/>
          <w:szCs w:val="24"/>
        </w:rPr>
        <w:t>Wiralodra English Journal, 9</w:t>
      </w:r>
      <w:r w:rsidRPr="00A20608">
        <w:rPr>
          <w:rFonts w:asciiTheme="majorBidi" w:hAnsiTheme="majorBidi" w:cstheme="majorBidi"/>
          <w:sz w:val="24"/>
          <w:szCs w:val="24"/>
        </w:rPr>
        <w:t xml:space="preserve">(1), 229–242. </w:t>
      </w:r>
      <w:hyperlink r:id="rId19" w:history="1">
        <w:r w:rsidR="00291AF6" w:rsidRPr="00E81161">
          <w:rPr>
            <w:rStyle w:val="Hyperlink"/>
            <w:rFonts w:asciiTheme="majorBidi" w:hAnsiTheme="majorBidi" w:cstheme="majorBidi"/>
            <w:sz w:val="24"/>
            <w:szCs w:val="24"/>
          </w:rPr>
          <w:t>https://doi.org/10.31943/wej.v9i1.405</w:t>
        </w:r>
      </w:hyperlink>
    </w:p>
    <w:p w14:paraId="33F26AD0" w14:textId="4C0B63FB" w:rsidR="00A20608" w:rsidRDefault="00A20608" w:rsidP="00A20608">
      <w:pPr>
        <w:pStyle w:val="RALs-ReferencesList"/>
        <w:ind w:left="720" w:hanging="720"/>
        <w:jc w:val="left"/>
        <w:rPr>
          <w:rFonts w:asciiTheme="majorBidi" w:hAnsiTheme="majorBidi" w:cstheme="majorBidi"/>
          <w:sz w:val="24"/>
          <w:szCs w:val="24"/>
        </w:rPr>
      </w:pPr>
      <w:r w:rsidRPr="00A20608">
        <w:rPr>
          <w:rFonts w:asciiTheme="majorBidi" w:hAnsiTheme="majorBidi" w:cstheme="majorBidi"/>
          <w:sz w:val="24"/>
          <w:szCs w:val="24"/>
        </w:rPr>
        <w:t>Tian, S., Jia, L., &amp; Zhang, Z. (2023). Investigating students' attitudes towards translation technology: The status quo and structural relations with translation mindsets and future work self. </w:t>
      </w:r>
      <w:r w:rsidRPr="00A20608">
        <w:rPr>
          <w:rFonts w:asciiTheme="majorBidi" w:hAnsiTheme="majorBidi" w:cstheme="majorBidi"/>
          <w:i/>
          <w:iCs/>
          <w:sz w:val="24"/>
          <w:szCs w:val="24"/>
        </w:rPr>
        <w:t>Frontiers in Psychology, 14</w:t>
      </w:r>
      <w:r w:rsidRPr="00A20608">
        <w:rPr>
          <w:rFonts w:asciiTheme="majorBidi" w:hAnsiTheme="majorBidi" w:cstheme="majorBidi"/>
          <w:sz w:val="24"/>
          <w:szCs w:val="24"/>
        </w:rPr>
        <w:t xml:space="preserve">, 1122612. </w:t>
      </w:r>
      <w:hyperlink r:id="rId20" w:history="1">
        <w:r w:rsidR="00291AF6" w:rsidRPr="00E81161">
          <w:rPr>
            <w:rStyle w:val="Hyperlink"/>
            <w:rFonts w:asciiTheme="majorBidi" w:hAnsiTheme="majorBidi" w:cstheme="majorBidi"/>
            <w:sz w:val="24"/>
            <w:szCs w:val="24"/>
          </w:rPr>
          <w:t>https://doi.org/10.3389/fpsyg.2023.1122612</w:t>
        </w:r>
      </w:hyperlink>
    </w:p>
    <w:p w14:paraId="75F88F31" w14:textId="375B7CCC" w:rsidR="00A20608" w:rsidRDefault="00A20608" w:rsidP="00A20608">
      <w:pPr>
        <w:pStyle w:val="RALs-ReferencesList"/>
        <w:ind w:left="720" w:hanging="720"/>
        <w:jc w:val="left"/>
        <w:rPr>
          <w:rFonts w:asciiTheme="majorBidi" w:hAnsiTheme="majorBidi" w:cstheme="majorBidi"/>
          <w:sz w:val="24"/>
          <w:szCs w:val="24"/>
        </w:rPr>
      </w:pPr>
      <w:r w:rsidRPr="00A20608">
        <w:rPr>
          <w:rFonts w:asciiTheme="majorBidi" w:hAnsiTheme="majorBidi" w:cstheme="majorBidi"/>
          <w:sz w:val="24"/>
          <w:szCs w:val="24"/>
        </w:rPr>
        <w:t>Yan, Q., Hussin, S., &amp; Jamaludin, K. A. (2025). Students' perceptions of AI-assisted blended teaching in a Chinese translation class: A preliminary study. </w:t>
      </w:r>
      <w:r w:rsidRPr="00A20608">
        <w:rPr>
          <w:rFonts w:asciiTheme="majorBidi" w:hAnsiTheme="majorBidi" w:cstheme="majorBidi"/>
          <w:i/>
          <w:iCs/>
          <w:sz w:val="24"/>
          <w:szCs w:val="24"/>
        </w:rPr>
        <w:t>Arab World English Journal (CALL Special Issue 11)</w:t>
      </w:r>
      <w:r w:rsidRPr="00A20608">
        <w:rPr>
          <w:rFonts w:asciiTheme="majorBidi" w:hAnsiTheme="majorBidi" w:cstheme="majorBidi"/>
          <w:sz w:val="24"/>
          <w:szCs w:val="24"/>
        </w:rPr>
        <w:t xml:space="preserve">, 160–176. </w:t>
      </w:r>
      <w:hyperlink r:id="rId21" w:history="1">
        <w:r w:rsidR="00291AF6" w:rsidRPr="00E81161">
          <w:rPr>
            <w:rStyle w:val="Hyperlink"/>
            <w:rFonts w:asciiTheme="majorBidi" w:hAnsiTheme="majorBidi" w:cstheme="majorBidi"/>
            <w:sz w:val="24"/>
            <w:szCs w:val="24"/>
          </w:rPr>
          <w:t>https://doi.org/10.24093/awej/call11.10</w:t>
        </w:r>
      </w:hyperlink>
    </w:p>
    <w:p w14:paraId="2084386D" w14:textId="1788E211" w:rsidR="00916D94" w:rsidRPr="00AB0FFE" w:rsidRDefault="00A20608" w:rsidP="00A20608">
      <w:pPr>
        <w:pStyle w:val="RALs-ReferencesList"/>
        <w:ind w:left="720" w:hanging="720"/>
        <w:jc w:val="left"/>
        <w:rPr>
          <w:rFonts w:asciiTheme="majorBidi" w:hAnsiTheme="majorBidi" w:cstheme="majorBidi"/>
          <w:sz w:val="24"/>
          <w:szCs w:val="24"/>
          <w:rtl/>
        </w:rPr>
      </w:pPr>
      <w:r w:rsidRPr="00A20608">
        <w:rPr>
          <w:rFonts w:asciiTheme="majorBidi" w:hAnsiTheme="majorBidi" w:cstheme="majorBidi"/>
          <w:sz w:val="24"/>
          <w:szCs w:val="24"/>
        </w:rPr>
        <w:t>Zimmerman, B. J. (2000). Attaining self-regulation: A social cognitive perspective. In M. Boekaerts, P. Pintrich, &amp; M. Zeidner (Eds.), </w:t>
      </w:r>
      <w:r w:rsidRPr="00A20608">
        <w:rPr>
          <w:rFonts w:asciiTheme="majorBidi" w:hAnsiTheme="majorBidi" w:cstheme="majorBidi"/>
          <w:i/>
          <w:iCs/>
          <w:sz w:val="24"/>
          <w:szCs w:val="24"/>
        </w:rPr>
        <w:t>Handbook of self-regulation</w:t>
      </w:r>
      <w:r w:rsidRPr="00A20608">
        <w:rPr>
          <w:rFonts w:asciiTheme="majorBidi" w:hAnsiTheme="majorBidi" w:cstheme="majorBidi"/>
          <w:sz w:val="24"/>
          <w:szCs w:val="24"/>
        </w:rPr>
        <w:t> (pp. 13–39). Academic Press.</w:t>
      </w:r>
    </w:p>
    <w:p w14:paraId="0710F9DF" w14:textId="77777777" w:rsidR="002334D9" w:rsidRDefault="002334D9" w:rsidP="00374F3D">
      <w:pPr>
        <w:pStyle w:val="RALs-ReferencesList"/>
        <w:rPr>
          <w:rFonts w:asciiTheme="majorBidi" w:eastAsiaTheme="minorHAnsi" w:hAnsiTheme="majorBidi" w:cstheme="majorBidi"/>
          <w:b/>
          <w:bCs/>
          <w:sz w:val="24"/>
          <w:szCs w:val="24"/>
        </w:rPr>
      </w:pPr>
      <w:r w:rsidRPr="002334D9">
        <w:rPr>
          <w:rFonts w:asciiTheme="majorBidi" w:eastAsiaTheme="minorHAnsi" w:hAnsiTheme="majorBidi" w:cstheme="majorBidi"/>
          <w:b/>
          <w:bCs/>
          <w:sz w:val="24"/>
          <w:szCs w:val="24"/>
        </w:rPr>
        <w:t>Bionote</w:t>
      </w:r>
    </w:p>
    <w:p w14:paraId="314EA52C" w14:textId="4E34B872" w:rsidR="002334D9" w:rsidRDefault="008C1722" w:rsidP="008C1722">
      <w:pPr>
        <w:pStyle w:val="RALs-ReferencesList"/>
        <w:ind w:left="720" w:hanging="720"/>
        <w:rPr>
          <w:rFonts w:asciiTheme="majorBidi" w:hAnsiTheme="majorBidi" w:cstheme="majorBidi"/>
          <w:sz w:val="24"/>
          <w:szCs w:val="24"/>
        </w:rPr>
      </w:pPr>
      <w:r w:rsidRPr="008C1722">
        <w:rPr>
          <w:rFonts w:asciiTheme="majorBidi" w:hAnsiTheme="majorBidi" w:cstheme="majorBidi"/>
          <w:sz w:val="24"/>
          <w:szCs w:val="24"/>
        </w:rPr>
        <w:t>Nam Anh</w:t>
      </w:r>
      <w:r>
        <w:rPr>
          <w:rFonts w:asciiTheme="majorBidi" w:hAnsiTheme="majorBidi" w:cstheme="majorBidi"/>
          <w:sz w:val="24"/>
          <w:szCs w:val="24"/>
        </w:rPr>
        <w:t xml:space="preserve"> Tran</w:t>
      </w:r>
      <w:r w:rsidRPr="008C1722">
        <w:rPr>
          <w:rFonts w:asciiTheme="majorBidi" w:hAnsiTheme="majorBidi" w:cstheme="majorBidi"/>
          <w:sz w:val="24"/>
          <w:szCs w:val="24"/>
        </w:rPr>
        <w:t xml:space="preserve"> holds a </w:t>
      </w:r>
      <w:proofErr w:type="gramStart"/>
      <w:r w:rsidRPr="008C1722">
        <w:rPr>
          <w:rFonts w:asciiTheme="majorBidi" w:hAnsiTheme="majorBidi" w:cstheme="majorBidi"/>
          <w:sz w:val="24"/>
          <w:szCs w:val="24"/>
        </w:rPr>
        <w:t xml:space="preserve">Master's degree </w:t>
      </w:r>
      <w:r>
        <w:rPr>
          <w:rFonts w:asciiTheme="majorBidi" w:hAnsiTheme="majorBidi" w:cstheme="majorBidi"/>
          <w:sz w:val="24"/>
          <w:szCs w:val="24"/>
        </w:rPr>
        <w:t>in Education</w:t>
      </w:r>
      <w:proofErr w:type="gramEnd"/>
      <w:r>
        <w:rPr>
          <w:rFonts w:asciiTheme="majorBidi" w:hAnsiTheme="majorBidi" w:cstheme="majorBidi"/>
          <w:sz w:val="24"/>
          <w:szCs w:val="24"/>
        </w:rPr>
        <w:t xml:space="preserve"> </w:t>
      </w:r>
      <w:r w:rsidRPr="008C1722">
        <w:rPr>
          <w:rFonts w:asciiTheme="majorBidi" w:hAnsiTheme="majorBidi" w:cstheme="majorBidi"/>
          <w:sz w:val="24"/>
          <w:szCs w:val="24"/>
        </w:rPr>
        <w:t>and is a Lecturer in the Faculty of Foreign Languages at Ho Chi Minh City University of Foreign Language</w:t>
      </w:r>
      <w:r>
        <w:rPr>
          <w:rFonts w:asciiTheme="majorBidi" w:hAnsiTheme="majorBidi" w:cstheme="majorBidi"/>
          <w:sz w:val="24"/>
          <w:szCs w:val="24"/>
        </w:rPr>
        <w:t>s –</w:t>
      </w:r>
      <w:r w:rsidRPr="008C1722">
        <w:rPr>
          <w:rFonts w:asciiTheme="majorBidi" w:hAnsiTheme="majorBidi" w:cstheme="majorBidi"/>
          <w:sz w:val="24"/>
          <w:szCs w:val="24"/>
        </w:rPr>
        <w:t xml:space="preserve"> Information Technology (HUFLIT), Vietnam. His research interests include AI-assisted language learning</w:t>
      </w:r>
      <w:r>
        <w:rPr>
          <w:rFonts w:asciiTheme="majorBidi" w:hAnsiTheme="majorBidi" w:cstheme="majorBidi"/>
          <w:sz w:val="24"/>
          <w:szCs w:val="24"/>
        </w:rPr>
        <w:t xml:space="preserve"> </w:t>
      </w:r>
      <w:r w:rsidRPr="008C1722">
        <w:rPr>
          <w:rFonts w:asciiTheme="majorBidi" w:hAnsiTheme="majorBidi" w:cstheme="majorBidi"/>
          <w:sz w:val="24"/>
          <w:szCs w:val="24"/>
        </w:rPr>
        <w:t xml:space="preserve">and the integration of educational technology in higher education contexts. His current work examines how generative AI tools such as ChatGPT and Grammarly shape </w:t>
      </w:r>
      <w:r w:rsidRPr="008C1722">
        <w:rPr>
          <w:rFonts w:asciiTheme="majorBidi" w:hAnsiTheme="majorBidi" w:cstheme="majorBidi"/>
          <w:sz w:val="24"/>
          <w:szCs w:val="24"/>
        </w:rPr>
        <w:lastRenderedPageBreak/>
        <w:t>student perceptions, metacognitive engagement, and self-regulated learning in university-level EFL translation courses in Vietnam.</w:t>
      </w:r>
    </w:p>
    <w:p w14:paraId="7C0CA6D0" w14:textId="24A0D012" w:rsidR="008C1722" w:rsidRPr="002334D9" w:rsidRDefault="008C1722" w:rsidP="008C1722">
      <w:pPr>
        <w:pStyle w:val="RALs-ReferencesList"/>
        <w:ind w:left="720" w:hanging="720"/>
        <w:rPr>
          <w:rFonts w:asciiTheme="majorBidi" w:hAnsiTheme="majorBidi" w:cstheme="majorBidi"/>
          <w:sz w:val="24"/>
          <w:szCs w:val="24"/>
        </w:rPr>
      </w:pPr>
      <w:r w:rsidRPr="008C1722">
        <w:rPr>
          <w:rFonts w:asciiTheme="majorBidi" w:hAnsiTheme="majorBidi" w:cstheme="majorBidi"/>
          <w:sz w:val="24"/>
          <w:szCs w:val="24"/>
        </w:rPr>
        <w:t>Thanh Tu</w:t>
      </w:r>
      <w:r>
        <w:rPr>
          <w:rFonts w:asciiTheme="majorBidi" w:hAnsiTheme="majorBidi" w:cstheme="majorBidi"/>
          <w:sz w:val="24"/>
          <w:szCs w:val="24"/>
        </w:rPr>
        <w:t xml:space="preserve"> Tran</w:t>
      </w:r>
      <w:r w:rsidRPr="008C1722">
        <w:rPr>
          <w:rFonts w:asciiTheme="majorBidi" w:hAnsiTheme="majorBidi" w:cstheme="majorBidi"/>
          <w:sz w:val="24"/>
          <w:szCs w:val="24"/>
        </w:rPr>
        <w:t xml:space="preserve"> holds a </w:t>
      </w:r>
      <w:proofErr w:type="gramStart"/>
      <w:r w:rsidRPr="008C1722">
        <w:rPr>
          <w:rFonts w:asciiTheme="majorBidi" w:hAnsiTheme="majorBidi" w:cstheme="majorBidi"/>
          <w:sz w:val="24"/>
          <w:szCs w:val="24"/>
        </w:rPr>
        <w:t>Master's degree</w:t>
      </w:r>
      <w:r>
        <w:rPr>
          <w:rFonts w:asciiTheme="majorBidi" w:hAnsiTheme="majorBidi" w:cstheme="majorBidi"/>
          <w:sz w:val="24"/>
          <w:szCs w:val="24"/>
        </w:rPr>
        <w:t xml:space="preserve"> in Business Administration</w:t>
      </w:r>
      <w:proofErr w:type="gramEnd"/>
      <w:r w:rsidRPr="008C1722">
        <w:rPr>
          <w:rFonts w:asciiTheme="majorBidi" w:hAnsiTheme="majorBidi" w:cstheme="majorBidi"/>
          <w:sz w:val="24"/>
          <w:szCs w:val="24"/>
        </w:rPr>
        <w:t xml:space="preserve"> and is a Lecturer in the Faculty of Foreign Languages at Ho Chi Minh City University of Foreign Languages </w:t>
      </w:r>
      <w:r>
        <w:rPr>
          <w:rFonts w:asciiTheme="majorBidi" w:hAnsiTheme="majorBidi" w:cstheme="majorBidi"/>
          <w:sz w:val="24"/>
          <w:szCs w:val="24"/>
        </w:rPr>
        <w:t>–</w:t>
      </w:r>
      <w:r w:rsidRPr="008C1722">
        <w:rPr>
          <w:rFonts w:asciiTheme="majorBidi" w:hAnsiTheme="majorBidi" w:cstheme="majorBidi"/>
          <w:sz w:val="24"/>
          <w:szCs w:val="24"/>
        </w:rPr>
        <w:t xml:space="preserve"> Information Technology (HUFLIT), Vietnam. H</w:t>
      </w:r>
      <w:r>
        <w:rPr>
          <w:rFonts w:asciiTheme="majorBidi" w:hAnsiTheme="majorBidi" w:cstheme="majorBidi"/>
          <w:sz w:val="24"/>
          <w:szCs w:val="24"/>
        </w:rPr>
        <w:t>is</w:t>
      </w:r>
      <w:r w:rsidRPr="008C1722">
        <w:rPr>
          <w:rFonts w:asciiTheme="majorBidi" w:hAnsiTheme="majorBidi" w:cstheme="majorBidi"/>
          <w:sz w:val="24"/>
          <w:szCs w:val="24"/>
        </w:rPr>
        <w:t xml:space="preserve"> research interests span artificial intelligence in education and business management, with a particular focus on how AI tools can be integrated into language learning and </w:t>
      </w:r>
      <w:r w:rsidR="005C6C58">
        <w:rPr>
          <w:rFonts w:asciiTheme="majorBidi" w:hAnsiTheme="majorBidi" w:cstheme="majorBidi"/>
          <w:sz w:val="24"/>
          <w:szCs w:val="24"/>
        </w:rPr>
        <w:t>research</w:t>
      </w:r>
      <w:r w:rsidRPr="008C1722">
        <w:rPr>
          <w:rFonts w:asciiTheme="majorBidi" w:hAnsiTheme="majorBidi" w:cstheme="majorBidi"/>
          <w:sz w:val="24"/>
          <w:szCs w:val="24"/>
        </w:rPr>
        <w:t xml:space="preserve"> in Vietnamese higher education.</w:t>
      </w:r>
    </w:p>
    <w:p w14:paraId="1AD94F21" w14:textId="77777777" w:rsidR="00722EDE" w:rsidRPr="00E40940" w:rsidRDefault="00722EDE" w:rsidP="00722EDE">
      <w:pPr>
        <w:pStyle w:val="RALs-Normal-NoIndent"/>
        <w:rPr>
          <w:rFonts w:asciiTheme="majorBidi" w:hAnsiTheme="majorBidi" w:cstheme="majorBidi"/>
          <w:sz w:val="24"/>
          <w:szCs w:val="24"/>
        </w:rPr>
      </w:pPr>
    </w:p>
    <w:p w14:paraId="1DBD6248" w14:textId="77777777" w:rsidR="00BA7885" w:rsidRPr="00E40940" w:rsidRDefault="00BA7885">
      <w:pPr>
        <w:rPr>
          <w:rFonts w:asciiTheme="majorBidi" w:hAnsiTheme="majorBidi" w:cstheme="majorBidi"/>
          <w:sz w:val="24"/>
          <w:szCs w:val="24"/>
        </w:rPr>
      </w:pPr>
    </w:p>
    <w:sectPr w:rsidR="00BA7885" w:rsidRPr="00E40940"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032B9" w14:textId="77777777" w:rsidR="00BB7809" w:rsidRDefault="00BB7809" w:rsidP="00722EDE">
      <w:pPr>
        <w:spacing w:before="0" w:after="0" w:line="240" w:lineRule="auto"/>
      </w:pPr>
      <w:r>
        <w:separator/>
      </w:r>
    </w:p>
  </w:endnote>
  <w:endnote w:type="continuationSeparator" w:id="0">
    <w:p w14:paraId="04716A36" w14:textId="77777777" w:rsidR="00BB7809" w:rsidRDefault="00BB7809"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altName w:val="Arial"/>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27ADA" w14:textId="77777777" w:rsidR="00BB7809" w:rsidRDefault="00BB7809" w:rsidP="00722EDE">
      <w:pPr>
        <w:spacing w:before="0" w:after="0" w:line="240" w:lineRule="auto"/>
      </w:pPr>
      <w:r>
        <w:separator/>
      </w:r>
    </w:p>
  </w:footnote>
  <w:footnote w:type="continuationSeparator" w:id="0">
    <w:p w14:paraId="09DFC888" w14:textId="77777777" w:rsidR="00BB7809" w:rsidRDefault="00BB7809" w:rsidP="00722EDE">
      <w:pPr>
        <w:spacing w:before="0" w:after="0" w:line="240" w:lineRule="auto"/>
      </w:pPr>
      <w:r>
        <w:continuationSeparator/>
      </w:r>
    </w:p>
  </w:footnote>
  <w:footnote w:id="1">
    <w:p w14:paraId="2CB0EAC8" w14:textId="1E047C7D" w:rsidR="00722EDE" w:rsidRPr="00D00215" w:rsidRDefault="00722EDE" w:rsidP="00AD7745">
      <w:pPr>
        <w:pStyle w:val="FootnoteText"/>
        <w:rPr>
          <w:rFonts w:cs="Times New Roman"/>
        </w:rPr>
      </w:pPr>
      <w:r w:rsidRPr="00D00215">
        <w:rPr>
          <w:rStyle w:val="FootnoteReference"/>
          <w:rFonts w:cs="Times New Roman"/>
        </w:rPr>
        <w:footnoteRef/>
      </w:r>
      <w:r w:rsidRPr="00D00215">
        <w:rPr>
          <w:rFonts w:cs="Times New Roman"/>
        </w:rPr>
        <w:t xml:space="preserve"> </w:t>
      </w:r>
      <w:r w:rsidRPr="00D00215">
        <w:rPr>
          <w:rFonts w:cs="Times New Roman"/>
          <w:spacing w:val="-2"/>
        </w:rPr>
        <w:t xml:space="preserve">Corresponding author, </w:t>
      </w:r>
      <w:r w:rsidR="00C35698">
        <w:rPr>
          <w:rFonts w:cs="Times New Roman"/>
        </w:rPr>
        <w:t>Lecturer</w:t>
      </w:r>
      <w:r w:rsidR="00EC1FC8">
        <w:rPr>
          <w:rFonts w:cs="Times New Roman"/>
          <w:spacing w:val="-2"/>
        </w:rPr>
        <w:t xml:space="preserve">, </w:t>
      </w:r>
      <w:r w:rsidRPr="00D00215">
        <w:rPr>
          <w:rFonts w:cs="Times New Roman"/>
          <w:spacing w:val="-2"/>
        </w:rPr>
        <w:t>Faculty</w:t>
      </w:r>
      <w:r w:rsidR="00C35698">
        <w:rPr>
          <w:rFonts w:cs="Times New Roman"/>
          <w:spacing w:val="-2"/>
        </w:rPr>
        <w:t xml:space="preserve"> of Foreign Languages</w:t>
      </w:r>
      <w:r w:rsidRPr="00D00215">
        <w:rPr>
          <w:rFonts w:cs="Times New Roman"/>
          <w:spacing w:val="-2"/>
        </w:rPr>
        <w:t xml:space="preserve">, </w:t>
      </w:r>
      <w:r w:rsidR="00C35698">
        <w:rPr>
          <w:rFonts w:cs="Times New Roman"/>
          <w:spacing w:val="-2"/>
        </w:rPr>
        <w:t>HCMC University of Foreign Languages – Information Technology</w:t>
      </w:r>
      <w:r w:rsidRPr="00D00215">
        <w:rPr>
          <w:rFonts w:cs="Times New Roman"/>
          <w:spacing w:val="-2"/>
        </w:rPr>
        <w:t xml:space="preserve">, </w:t>
      </w:r>
      <w:r w:rsidR="00C35698">
        <w:rPr>
          <w:rFonts w:cs="Times New Roman"/>
          <w:spacing w:val="-2"/>
        </w:rPr>
        <w:t>Ho Chi Minh City</w:t>
      </w:r>
      <w:r w:rsidRPr="00D00215">
        <w:rPr>
          <w:rFonts w:cs="Times New Roman"/>
          <w:spacing w:val="-2"/>
        </w:rPr>
        <w:t xml:space="preserve">, </w:t>
      </w:r>
      <w:r w:rsidR="00C35698">
        <w:rPr>
          <w:rFonts w:cs="Times New Roman"/>
          <w:spacing w:val="-2"/>
        </w:rPr>
        <w:t>Vietnam</w:t>
      </w:r>
      <w:r w:rsidRPr="00D00215">
        <w:rPr>
          <w:rFonts w:cs="Times New Roman"/>
          <w:spacing w:val="-2"/>
        </w:rPr>
        <w:t xml:space="preserve">; </w:t>
      </w:r>
      <w:r w:rsidR="00AD7745">
        <w:rPr>
          <w:rFonts w:cs="Times New Roman"/>
          <w:i/>
          <w:iCs/>
          <w:spacing w:val="-2"/>
        </w:rPr>
        <w:t>Email:</w:t>
      </w:r>
      <w:r w:rsidR="00AD7745" w:rsidRPr="00AD7745">
        <w:rPr>
          <w:rFonts w:cs="Times New Roman"/>
          <w:i/>
          <w:iCs/>
        </w:rPr>
        <w:t xml:space="preserve"> </w:t>
      </w:r>
      <w:r w:rsidR="00C35698">
        <w:rPr>
          <w:rFonts w:cs="Times New Roman"/>
          <w:i/>
          <w:iCs/>
        </w:rPr>
        <w:t>anhtn@huflit.edu.vn</w:t>
      </w:r>
    </w:p>
  </w:footnote>
  <w:footnote w:id="2">
    <w:p w14:paraId="01450BB6" w14:textId="3DFBE25D" w:rsidR="00722EDE" w:rsidRDefault="00722EDE" w:rsidP="00722EDE">
      <w:pPr>
        <w:pStyle w:val="FootnoteText"/>
      </w:pPr>
      <w:r>
        <w:rPr>
          <w:rStyle w:val="FootnoteReference"/>
        </w:rPr>
        <w:footnoteRef/>
      </w:r>
      <w:r>
        <w:t xml:space="preserve"> </w:t>
      </w:r>
      <w:r w:rsidR="00C35698" w:rsidRPr="00C35698">
        <w:rPr>
          <w:rFonts w:cs="Times New Roman"/>
        </w:rPr>
        <w:t>Lecturer, Faculty of Foreign Languages, HCMC University of Foreign Languages – Information Technology, Ho Chi Minh City, Vietnam</w:t>
      </w:r>
    </w:p>
    <w:p w14:paraId="50DEF4C5" w14:textId="77777777" w:rsidR="00722EDE" w:rsidRDefault="00722ED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675"/>
    <w:multiLevelType w:val="hybridMultilevel"/>
    <w:tmpl w:val="DD269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D436D3"/>
    <w:multiLevelType w:val="hybridMultilevel"/>
    <w:tmpl w:val="05F85C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3A3253D"/>
    <w:multiLevelType w:val="hybridMultilevel"/>
    <w:tmpl w:val="A8344D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4676D3"/>
    <w:multiLevelType w:val="multilevel"/>
    <w:tmpl w:val="B5F4E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1126C6"/>
    <w:multiLevelType w:val="hybridMultilevel"/>
    <w:tmpl w:val="715684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1B04F19"/>
    <w:multiLevelType w:val="hybridMultilevel"/>
    <w:tmpl w:val="E5A450CE"/>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71C96CBE"/>
    <w:multiLevelType w:val="hybridMultilevel"/>
    <w:tmpl w:val="E496E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2808696">
    <w:abstractNumId w:val="2"/>
  </w:num>
  <w:num w:numId="2" w16cid:durableId="1901213188">
    <w:abstractNumId w:val="4"/>
  </w:num>
  <w:num w:numId="3" w16cid:durableId="346758034">
    <w:abstractNumId w:val="6"/>
  </w:num>
  <w:num w:numId="4" w16cid:durableId="2088574837">
    <w:abstractNumId w:val="1"/>
  </w:num>
  <w:num w:numId="5" w16cid:durableId="2104951680">
    <w:abstractNumId w:val="0"/>
  </w:num>
  <w:num w:numId="6" w16cid:durableId="1208176848">
    <w:abstractNumId w:val="7"/>
  </w:num>
  <w:num w:numId="7" w16cid:durableId="1627858638">
    <w:abstractNumId w:val="8"/>
  </w:num>
  <w:num w:numId="8" w16cid:durableId="498545007">
    <w:abstractNumId w:val="3"/>
  </w:num>
  <w:num w:numId="9" w16cid:durableId="21180153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255FB"/>
    <w:rsid w:val="00037AA5"/>
    <w:rsid w:val="00042E0A"/>
    <w:rsid w:val="000452F9"/>
    <w:rsid w:val="00050F16"/>
    <w:rsid w:val="0008495B"/>
    <w:rsid w:val="00097731"/>
    <w:rsid w:val="000B1F09"/>
    <w:rsid w:val="000D02DA"/>
    <w:rsid w:val="000E34C6"/>
    <w:rsid w:val="00100186"/>
    <w:rsid w:val="00105F23"/>
    <w:rsid w:val="00112416"/>
    <w:rsid w:val="0013436C"/>
    <w:rsid w:val="001348A2"/>
    <w:rsid w:val="001354B2"/>
    <w:rsid w:val="0013604B"/>
    <w:rsid w:val="00137E96"/>
    <w:rsid w:val="0015519F"/>
    <w:rsid w:val="00164D56"/>
    <w:rsid w:val="00196E5C"/>
    <w:rsid w:val="001D1F3F"/>
    <w:rsid w:val="001D1FDF"/>
    <w:rsid w:val="002057E3"/>
    <w:rsid w:val="00206715"/>
    <w:rsid w:val="00216A9B"/>
    <w:rsid w:val="00230B4C"/>
    <w:rsid w:val="002334D9"/>
    <w:rsid w:val="0024049F"/>
    <w:rsid w:val="0024193C"/>
    <w:rsid w:val="002639BD"/>
    <w:rsid w:val="00263F22"/>
    <w:rsid w:val="002835DB"/>
    <w:rsid w:val="00291AF6"/>
    <w:rsid w:val="00291EBB"/>
    <w:rsid w:val="002B661C"/>
    <w:rsid w:val="002D59B6"/>
    <w:rsid w:val="002E0A92"/>
    <w:rsid w:val="002E660C"/>
    <w:rsid w:val="00316775"/>
    <w:rsid w:val="003202AA"/>
    <w:rsid w:val="00331FF3"/>
    <w:rsid w:val="0035020A"/>
    <w:rsid w:val="00352213"/>
    <w:rsid w:val="00352D49"/>
    <w:rsid w:val="00374F3D"/>
    <w:rsid w:val="00385D90"/>
    <w:rsid w:val="00390ED1"/>
    <w:rsid w:val="003943D0"/>
    <w:rsid w:val="003C1DED"/>
    <w:rsid w:val="003E053B"/>
    <w:rsid w:val="003E395E"/>
    <w:rsid w:val="003E7F04"/>
    <w:rsid w:val="00412559"/>
    <w:rsid w:val="0042278D"/>
    <w:rsid w:val="0043316A"/>
    <w:rsid w:val="004630CA"/>
    <w:rsid w:val="00475636"/>
    <w:rsid w:val="00486E01"/>
    <w:rsid w:val="00492B4B"/>
    <w:rsid w:val="004A7047"/>
    <w:rsid w:val="004C203D"/>
    <w:rsid w:val="004C67E4"/>
    <w:rsid w:val="005047AD"/>
    <w:rsid w:val="00531702"/>
    <w:rsid w:val="00534412"/>
    <w:rsid w:val="0054153C"/>
    <w:rsid w:val="0055247B"/>
    <w:rsid w:val="0055523F"/>
    <w:rsid w:val="0055635B"/>
    <w:rsid w:val="005801EA"/>
    <w:rsid w:val="005C0ED6"/>
    <w:rsid w:val="005C3153"/>
    <w:rsid w:val="005C6C58"/>
    <w:rsid w:val="005D200D"/>
    <w:rsid w:val="005E2F48"/>
    <w:rsid w:val="005E6521"/>
    <w:rsid w:val="005F4AE4"/>
    <w:rsid w:val="0060356B"/>
    <w:rsid w:val="00622A07"/>
    <w:rsid w:val="006505BE"/>
    <w:rsid w:val="00660CAB"/>
    <w:rsid w:val="00674F92"/>
    <w:rsid w:val="006A0AE2"/>
    <w:rsid w:val="006A4906"/>
    <w:rsid w:val="006C23EA"/>
    <w:rsid w:val="006C7409"/>
    <w:rsid w:val="006D5B06"/>
    <w:rsid w:val="006E25FE"/>
    <w:rsid w:val="006E374B"/>
    <w:rsid w:val="006F01BE"/>
    <w:rsid w:val="00722EDE"/>
    <w:rsid w:val="007270FC"/>
    <w:rsid w:val="00727C5A"/>
    <w:rsid w:val="00731225"/>
    <w:rsid w:val="0074195F"/>
    <w:rsid w:val="007427A6"/>
    <w:rsid w:val="007468C4"/>
    <w:rsid w:val="007507FE"/>
    <w:rsid w:val="007560FC"/>
    <w:rsid w:val="00762AAD"/>
    <w:rsid w:val="0077143C"/>
    <w:rsid w:val="00775C4A"/>
    <w:rsid w:val="00796AB8"/>
    <w:rsid w:val="007B54D6"/>
    <w:rsid w:val="007E4C5F"/>
    <w:rsid w:val="00840B0C"/>
    <w:rsid w:val="0084425D"/>
    <w:rsid w:val="00871571"/>
    <w:rsid w:val="00874E3F"/>
    <w:rsid w:val="00881C36"/>
    <w:rsid w:val="00894D0A"/>
    <w:rsid w:val="008B1D12"/>
    <w:rsid w:val="008B1F76"/>
    <w:rsid w:val="008C1722"/>
    <w:rsid w:val="008C72AD"/>
    <w:rsid w:val="008F3650"/>
    <w:rsid w:val="00906B59"/>
    <w:rsid w:val="00916D94"/>
    <w:rsid w:val="00934F68"/>
    <w:rsid w:val="00934FC5"/>
    <w:rsid w:val="00942596"/>
    <w:rsid w:val="00943C2F"/>
    <w:rsid w:val="00950C30"/>
    <w:rsid w:val="009627F9"/>
    <w:rsid w:val="009A2266"/>
    <w:rsid w:val="009C6D0A"/>
    <w:rsid w:val="009E4AF1"/>
    <w:rsid w:val="00A01970"/>
    <w:rsid w:val="00A12F50"/>
    <w:rsid w:val="00A20608"/>
    <w:rsid w:val="00A43867"/>
    <w:rsid w:val="00A6273B"/>
    <w:rsid w:val="00A76568"/>
    <w:rsid w:val="00A97D55"/>
    <w:rsid w:val="00AA0B64"/>
    <w:rsid w:val="00AA45FD"/>
    <w:rsid w:val="00AB0FFE"/>
    <w:rsid w:val="00AB1BE1"/>
    <w:rsid w:val="00AB40B0"/>
    <w:rsid w:val="00AC1211"/>
    <w:rsid w:val="00AD29B9"/>
    <w:rsid w:val="00AD7745"/>
    <w:rsid w:val="00AE0080"/>
    <w:rsid w:val="00AE1120"/>
    <w:rsid w:val="00AF4612"/>
    <w:rsid w:val="00B13FAF"/>
    <w:rsid w:val="00B42956"/>
    <w:rsid w:val="00B475BC"/>
    <w:rsid w:val="00B548FC"/>
    <w:rsid w:val="00BA2535"/>
    <w:rsid w:val="00BA7885"/>
    <w:rsid w:val="00BB3A92"/>
    <w:rsid w:val="00BB7809"/>
    <w:rsid w:val="00C12CDD"/>
    <w:rsid w:val="00C35698"/>
    <w:rsid w:val="00C47E23"/>
    <w:rsid w:val="00C51280"/>
    <w:rsid w:val="00C51D2A"/>
    <w:rsid w:val="00C71656"/>
    <w:rsid w:val="00C863B2"/>
    <w:rsid w:val="00C86B20"/>
    <w:rsid w:val="00CB60A2"/>
    <w:rsid w:val="00CD3D29"/>
    <w:rsid w:val="00CD5CC3"/>
    <w:rsid w:val="00CE0242"/>
    <w:rsid w:val="00D02BE7"/>
    <w:rsid w:val="00D066E4"/>
    <w:rsid w:val="00D1125C"/>
    <w:rsid w:val="00D27A4B"/>
    <w:rsid w:val="00D3302B"/>
    <w:rsid w:val="00D47736"/>
    <w:rsid w:val="00D55A89"/>
    <w:rsid w:val="00D80611"/>
    <w:rsid w:val="00D855C3"/>
    <w:rsid w:val="00DC4220"/>
    <w:rsid w:val="00DC5B1A"/>
    <w:rsid w:val="00DC5BCF"/>
    <w:rsid w:val="00DD1C98"/>
    <w:rsid w:val="00DD7139"/>
    <w:rsid w:val="00DE422F"/>
    <w:rsid w:val="00DF4D75"/>
    <w:rsid w:val="00E21A7A"/>
    <w:rsid w:val="00E26F9D"/>
    <w:rsid w:val="00E314BF"/>
    <w:rsid w:val="00E40940"/>
    <w:rsid w:val="00E60357"/>
    <w:rsid w:val="00E81771"/>
    <w:rsid w:val="00E86027"/>
    <w:rsid w:val="00EA0ACF"/>
    <w:rsid w:val="00EB35B5"/>
    <w:rsid w:val="00EB3C89"/>
    <w:rsid w:val="00EC1FC8"/>
    <w:rsid w:val="00EE3690"/>
    <w:rsid w:val="00EE6618"/>
    <w:rsid w:val="00F03E1A"/>
    <w:rsid w:val="00F101E7"/>
    <w:rsid w:val="00F63596"/>
    <w:rsid w:val="00F80056"/>
    <w:rsid w:val="00F80631"/>
    <w:rsid w:val="00F82272"/>
    <w:rsid w:val="00F840AD"/>
    <w:rsid w:val="00F844C8"/>
    <w:rsid w:val="00F861FB"/>
    <w:rsid w:val="00F9203E"/>
    <w:rsid w:val="00FB2BFF"/>
    <w:rsid w:val="00FC0209"/>
    <w:rsid w:val="00FD7911"/>
    <w:rsid w:val="00FE32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AA870"/>
  <w15:chartTrackingRefBased/>
  <w15:docId w15:val="{A91C2F67-A7B2-4D57-B29C-A8C60EFC4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DE"/>
    <w:pPr>
      <w:spacing w:before="120" w:after="60" w:line="276" w:lineRule="auto"/>
      <w:ind w:firstLine="720"/>
      <w:jc w:val="both"/>
    </w:pPr>
    <w:rPr>
      <w:rFonts w:ascii="Times New Roman" w:eastAsia="Times New Roman" w:hAnsi="Times New Roman" w:cs="B Za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1354B2"/>
    <w:pPr>
      <w:spacing w:before="0"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916D94"/>
    <w:rPr>
      <w:color w:val="605E5C"/>
      <w:shd w:val="clear" w:color="auto" w:fill="E1DFDD"/>
    </w:rPr>
  </w:style>
  <w:style w:type="character" w:styleId="FollowedHyperlink">
    <w:name w:val="FollowedHyperlink"/>
    <w:basedOn w:val="DefaultParagraphFont"/>
    <w:uiPriority w:val="99"/>
    <w:semiHidden/>
    <w:unhideWhenUsed/>
    <w:rsid w:val="006E37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5296/ijl.v17i4.22768" TargetMode="External"/><Relationship Id="rId18" Type="http://schemas.openxmlformats.org/officeDocument/2006/relationships/hyperlink" Target="https://doi.org/10.3126/JJMC2.V1I1.81437" TargetMode="External"/><Relationship Id="rId3" Type="http://schemas.openxmlformats.org/officeDocument/2006/relationships/styles" Target="styles.xml"/><Relationship Id="rId21" Type="http://schemas.openxmlformats.org/officeDocument/2006/relationships/hyperlink" Target="https://doi.org/10.24093/awej/call11.10" TargetMode="External"/><Relationship Id="rId7" Type="http://schemas.openxmlformats.org/officeDocument/2006/relationships/endnotes" Target="endnotes.xml"/><Relationship Id="rId12" Type="http://schemas.openxmlformats.org/officeDocument/2006/relationships/hyperlink" Target="https://doi.org/10.29140/jaltcall.v14n1.221" TargetMode="External"/><Relationship Id="rId17" Type="http://schemas.openxmlformats.org/officeDocument/2006/relationships/hyperlink" Target="https://doi.org/10.1371/journal.pone.0338089" TargetMode="External"/><Relationship Id="rId2" Type="http://schemas.openxmlformats.org/officeDocument/2006/relationships/numbering" Target="numbering.xml"/><Relationship Id="rId16" Type="http://schemas.openxmlformats.org/officeDocument/2006/relationships/hyperlink" Target="https://doi.org/10.5565/rev/tradumatica.273" TargetMode="External"/><Relationship Id="rId20" Type="http://schemas.openxmlformats.org/officeDocument/2006/relationships/hyperlink" Target="https://doi.org/10.3389/fpsyg.2023.11226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2521/edupij.2025.17.345" TargetMode="External"/><Relationship Id="rId5" Type="http://schemas.openxmlformats.org/officeDocument/2006/relationships/webSettings" Target="webSettings.xml"/><Relationship Id="rId15" Type="http://schemas.openxmlformats.org/officeDocument/2006/relationships/hyperlink" Target="https://doi.org/10.22521/edupij.2025.15.158"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31943/wej.v9i1.405"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doi.org/10.2307/24900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03BF-37CB-4CA1-9821-13C788B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31</Pages>
  <Words>7906</Words>
  <Characters>45068</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Tran</dc:creator>
  <cp:keywords/>
  <dc:description/>
  <cp:lastModifiedBy>Adamantium Tee</cp:lastModifiedBy>
  <cp:revision>20</cp:revision>
  <dcterms:created xsi:type="dcterms:W3CDTF">2026-06-01T09:20:00Z</dcterms:created>
  <dcterms:modified xsi:type="dcterms:W3CDTF">2026-07-05T07:04:00Z</dcterms:modified>
</cp:coreProperties>
</file>